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1682">
      <w:pPr>
        <w:widowControl/>
        <w:spacing w:line="520" w:lineRule="exact"/>
        <w:jc w:val="center"/>
        <w:rPr>
          <w:rFonts w:hint="eastAsia" w:ascii="方正小标宋简体" w:hAnsi="方正小标宋简体" w:eastAsia="方正小标宋简体" w:cs="方正小标宋简体"/>
          <w:color w:val="auto"/>
          <w:spacing w:val="-11"/>
          <w:sz w:val="36"/>
          <w:szCs w:val="36"/>
          <w:highlight w:val="none"/>
          <w:lang w:bidi="ar"/>
        </w:rPr>
      </w:pPr>
      <w:r>
        <w:rPr>
          <w:rFonts w:hint="eastAsia" w:ascii="方正小标宋简体" w:hAnsi="方正小标宋简体" w:eastAsia="方正小标宋简体" w:cs="方正小标宋简体"/>
          <w:color w:val="auto"/>
          <w:spacing w:val="-11"/>
          <w:sz w:val="36"/>
          <w:szCs w:val="36"/>
          <w:highlight w:val="none"/>
          <w:lang w:bidi="ar"/>
        </w:rPr>
        <w:t>福建省202</w:t>
      </w:r>
      <w:r>
        <w:rPr>
          <w:rFonts w:hint="eastAsia" w:ascii="方正小标宋简体" w:hAnsi="方正小标宋简体" w:eastAsia="方正小标宋简体" w:cs="方正小标宋简体"/>
          <w:color w:val="auto"/>
          <w:spacing w:val="-11"/>
          <w:sz w:val="36"/>
          <w:szCs w:val="36"/>
          <w:highlight w:val="none"/>
          <w:lang w:val="en-US" w:eastAsia="zh-CN" w:bidi="ar"/>
        </w:rPr>
        <w:t>6</w:t>
      </w:r>
      <w:r>
        <w:rPr>
          <w:rFonts w:hint="eastAsia" w:ascii="方正小标宋简体" w:hAnsi="方正小标宋简体" w:eastAsia="方正小标宋简体" w:cs="方正小标宋简体"/>
          <w:color w:val="auto"/>
          <w:spacing w:val="-11"/>
          <w:sz w:val="36"/>
          <w:szCs w:val="36"/>
          <w:highlight w:val="none"/>
          <w:lang w:bidi="ar"/>
        </w:rPr>
        <w:t>年“三支一扶”计划省外高校福建生源</w:t>
      </w:r>
    </w:p>
    <w:p w14:paraId="5FBF2CCD">
      <w:pPr>
        <w:widowControl/>
        <w:spacing w:line="520" w:lineRule="exact"/>
        <w:jc w:val="center"/>
        <w:rPr>
          <w:rFonts w:hint="eastAsia" w:ascii="方正小标宋简体" w:hAnsi="方正小标宋简体" w:eastAsia="方正小标宋简体" w:cs="方正小标宋简体"/>
          <w:color w:val="auto"/>
          <w:spacing w:val="-11"/>
          <w:sz w:val="36"/>
          <w:szCs w:val="36"/>
          <w:highlight w:val="none"/>
          <w:lang w:bidi="ar"/>
        </w:rPr>
      </w:pPr>
      <w:r>
        <w:rPr>
          <w:rFonts w:hint="eastAsia" w:ascii="方正小标宋简体" w:hAnsi="方正小标宋简体" w:eastAsia="方正小标宋简体" w:cs="方正小标宋简体"/>
          <w:color w:val="auto"/>
          <w:spacing w:val="-11"/>
          <w:sz w:val="36"/>
          <w:szCs w:val="36"/>
          <w:highlight w:val="none"/>
          <w:lang w:bidi="ar"/>
        </w:rPr>
        <w:t>高校毕业生审核办法</w:t>
      </w:r>
    </w:p>
    <w:p w14:paraId="4B53B384">
      <w:pPr>
        <w:spacing w:line="520" w:lineRule="exact"/>
        <w:jc w:val="both"/>
        <w:rPr>
          <w:rFonts w:hint="eastAsia" w:ascii="方正小标宋简体" w:hAnsi="方正小标宋简体" w:eastAsia="方正小标宋简体" w:cs="方正小标宋简体"/>
          <w:sz w:val="44"/>
          <w:szCs w:val="44"/>
          <w:highlight w:val="none"/>
        </w:rPr>
      </w:pPr>
    </w:p>
    <w:p w14:paraId="134742C4">
      <w:pPr>
        <w:spacing w:line="520" w:lineRule="exact"/>
        <w:ind w:firstLine="627" w:firstLineChars="196"/>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为做好202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年福建省“三支一扶”计划省外全日制普通高校福建生源高校毕业生报名</w:t>
      </w:r>
      <w:r>
        <w:rPr>
          <w:rFonts w:hint="default" w:ascii="仿宋_GB2312" w:hAnsi="仿宋_GB2312" w:cs="仿宋_GB2312"/>
          <w:sz w:val="32"/>
          <w:szCs w:val="32"/>
          <w:highlight w:val="none"/>
          <w:lang w:val="en"/>
        </w:rPr>
        <w:t>审核</w:t>
      </w:r>
      <w:r>
        <w:rPr>
          <w:rFonts w:hint="eastAsia" w:ascii="仿宋_GB2312" w:hAnsi="仿宋_GB2312" w:eastAsia="仿宋_GB2312" w:cs="仿宋_GB2312"/>
          <w:sz w:val="32"/>
          <w:szCs w:val="32"/>
          <w:highlight w:val="none"/>
        </w:rPr>
        <w:t>工作，</w:t>
      </w:r>
      <w:r>
        <w:rPr>
          <w:rFonts w:hint="eastAsia" w:ascii="仿宋_GB2312" w:hAnsi="仿宋_GB2312" w:cs="仿宋_GB2312"/>
          <w:sz w:val="32"/>
          <w:szCs w:val="32"/>
          <w:highlight w:val="none"/>
          <w:lang w:eastAsia="zh-CN"/>
        </w:rPr>
        <w:t>现</w:t>
      </w:r>
      <w:r>
        <w:rPr>
          <w:rFonts w:hint="eastAsia" w:ascii="仿宋_GB2312" w:hAnsi="仿宋_GB2312" w:eastAsia="仿宋_GB2312" w:cs="仿宋_GB2312"/>
          <w:sz w:val="32"/>
          <w:szCs w:val="32"/>
          <w:highlight w:val="none"/>
        </w:rPr>
        <w:t>制定本办法。</w:t>
      </w:r>
    </w:p>
    <w:p w14:paraId="6BD04ECB">
      <w:pPr>
        <w:spacing w:line="520" w:lineRule="exact"/>
        <w:ind w:firstLine="627" w:firstLineChars="196"/>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一、审核机构</w:t>
      </w:r>
    </w:p>
    <w:p w14:paraId="2EA39B9E">
      <w:pPr>
        <w:spacing w:line="520" w:lineRule="exact"/>
        <w:ind w:firstLine="627" w:firstLineChars="196"/>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年福建省“三支一扶”计划报名人员审核工作由各有关设区市和平潭综合实验区人社部门及毕业生所在院校共同负责。</w:t>
      </w:r>
    </w:p>
    <w:p w14:paraId="3A5B36E7">
      <w:pPr>
        <w:spacing w:line="520" w:lineRule="exact"/>
        <w:ind w:firstLine="627" w:firstLineChars="196"/>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二、审核对象</w:t>
      </w:r>
    </w:p>
    <w:p w14:paraId="5F2DF6E8">
      <w:pPr>
        <w:spacing w:line="520" w:lineRule="exact"/>
        <w:ind w:firstLine="627" w:firstLineChars="196"/>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报名参加202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年福建省“三支一扶”计划的省外全日制普通高校福建生源高校毕业生。</w:t>
      </w:r>
    </w:p>
    <w:p w14:paraId="4D5DC686">
      <w:pPr>
        <w:numPr>
          <w:ilvl w:val="0"/>
          <w:numId w:val="1"/>
        </w:numPr>
        <w:spacing w:line="520" w:lineRule="exact"/>
        <w:ind w:firstLine="627" w:firstLineChars="196"/>
        <w:jc w:val="both"/>
        <w:rPr>
          <w:rFonts w:hint="eastAsia" w:ascii="黑体" w:hAnsi="黑体" w:eastAsia="黑体" w:cs="黑体"/>
          <w:sz w:val="32"/>
          <w:szCs w:val="32"/>
          <w:highlight w:val="none"/>
        </w:rPr>
      </w:pPr>
      <w:r>
        <w:rPr>
          <w:rFonts w:hint="default" w:ascii="黑体" w:hAnsi="黑体" w:eastAsia="黑体" w:cs="黑体"/>
          <w:sz w:val="32"/>
          <w:szCs w:val="32"/>
          <w:highlight w:val="none"/>
          <w:lang w:val="en"/>
        </w:rPr>
        <w:t>审核</w:t>
      </w:r>
      <w:r>
        <w:rPr>
          <w:rFonts w:hint="eastAsia" w:ascii="黑体" w:hAnsi="黑体" w:eastAsia="黑体" w:cs="黑体"/>
          <w:sz w:val="32"/>
          <w:szCs w:val="32"/>
          <w:highlight w:val="none"/>
        </w:rPr>
        <w:t>内容</w:t>
      </w:r>
    </w:p>
    <w:p w14:paraId="652F89CB">
      <w:pPr>
        <w:snapToGrid w:val="0"/>
        <w:spacing w:line="520" w:lineRule="exact"/>
        <w:ind w:firstLine="640" w:firstLineChars="200"/>
        <w:jc w:val="both"/>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（一）资格审核</w:t>
      </w:r>
    </w:p>
    <w:p w14:paraId="37624EE2">
      <w:pPr>
        <w:spacing w:line="520" w:lineRule="exact"/>
        <w:ind w:firstLine="627" w:firstLineChars="196"/>
        <w:jc w:val="both"/>
        <w:rPr>
          <w:rFonts w:hint="eastAsia" w:ascii="仿宋_GB2312" w:hAnsi="仿宋_GB2312" w:eastAsia="仿宋_GB2312" w:cs="仿宋_GB2312"/>
          <w:sz w:val="32"/>
          <w:szCs w:val="32"/>
          <w:highlight w:val="none"/>
        </w:rPr>
      </w:pPr>
      <w:r>
        <w:rPr>
          <w:rFonts w:ascii="仿宋_GB2312" w:hAnsi="仿宋_GB2312" w:eastAsia="仿宋_GB2312" w:cs="仿宋_GB2312"/>
          <w:b w:val="0"/>
          <w:bCs w:val="0"/>
          <w:sz w:val="32"/>
          <w:szCs w:val="32"/>
          <w:highlight w:val="none"/>
        </w:rPr>
        <w:t>1.</w:t>
      </w:r>
      <w:r>
        <w:rPr>
          <w:rFonts w:hint="eastAsia" w:ascii="仿宋_GB2312" w:hAnsi="仿宋_GB2312" w:eastAsia="仿宋_GB2312" w:cs="仿宋_GB2312"/>
          <w:b w:val="0"/>
          <w:bCs w:val="0"/>
          <w:sz w:val="32"/>
          <w:szCs w:val="32"/>
          <w:highlight w:val="none"/>
        </w:rPr>
        <w:t>审核报名人员《报名表》信息，包括</w:t>
      </w:r>
      <w:r>
        <w:rPr>
          <w:rFonts w:hint="eastAsia" w:ascii="仿宋_GB2312" w:hAnsi="仿宋_GB2312" w:eastAsia="仿宋_GB2312" w:cs="仿宋_GB2312"/>
          <w:b w:val="0"/>
          <w:bCs w:val="0"/>
          <w:sz w:val="32"/>
          <w:szCs w:val="32"/>
          <w:highlight w:val="none"/>
          <w:lang w:val="en-US" w:eastAsia="zh-CN"/>
        </w:rPr>
        <w:t>姓名、身份证号、</w:t>
      </w:r>
      <w:r>
        <w:rPr>
          <w:rFonts w:ascii="仿宋_GB2312" w:hAnsi="仿宋_GB2312" w:eastAsia="仿宋_GB2312" w:cs="仿宋_GB2312"/>
          <w:b w:val="0"/>
          <w:bCs w:val="0"/>
          <w:sz w:val="32"/>
          <w:szCs w:val="32"/>
          <w:highlight w:val="none"/>
        </w:rPr>
        <w:t>生源地</w:t>
      </w:r>
      <w:r>
        <w:rPr>
          <w:rFonts w:hint="eastAsia" w:ascii="仿宋_GB2312" w:hAnsi="仿宋_GB2312" w:eastAsia="仿宋_GB2312" w:cs="仿宋_GB2312"/>
          <w:b w:val="0"/>
          <w:bCs w:val="0"/>
          <w:sz w:val="32"/>
          <w:szCs w:val="32"/>
          <w:highlight w:val="none"/>
        </w:rPr>
        <w:t>（生源地指参加全国统一的普通高等学校招生考试时户籍所在地）</w:t>
      </w:r>
      <w:r>
        <w:rPr>
          <w:rFonts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t>民族、学历、专业、政治面貌（包括群众、共青团员、入党积极分子、党员发展对象、中共预备党员、中共党员等）、在校奖惩情况等信息是否真实准确。报名人员困难状况（城乡低保家庭高校毕业生、特困人员高校毕业生）由系统通过大数据比对自动审核，系统显现“校验通过”的，不需要上传材料，</w:t>
      </w:r>
      <w:r>
        <w:rPr>
          <w:rFonts w:hint="eastAsia" w:ascii="仿宋_GB2312" w:hAnsi="仿宋_GB2312" w:eastAsia="仿宋_GB2312" w:cs="仿宋_GB2312"/>
          <w:sz w:val="32"/>
          <w:szCs w:val="32"/>
          <w:highlight w:val="none"/>
        </w:rPr>
        <w:t>“校验不通过”但认为自己属于上述困难状况的报名人员，需自行上传佐证材料，由报考岗位所在设区市人社部门人工审核，院校无需审核。</w:t>
      </w:r>
    </w:p>
    <w:p w14:paraId="1E7A76B2">
      <w:pPr>
        <w:spacing w:line="550" w:lineRule="exact"/>
        <w:ind w:firstLine="640" w:firstLineChars="200"/>
        <w:jc w:val="both"/>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报名人员是否属于按照国家普通高等学校招生计划的全日制普通高校毕业生和国家统一下达招生计划，考试招生执行相同政策和标准的全日制、非全</w:t>
      </w:r>
      <w:r>
        <w:rPr>
          <w:rFonts w:hint="eastAsia" w:ascii="仿宋_GB2312" w:hAnsi="仿宋_GB2312" w:eastAsia="仿宋_GB2312" w:cs="仿宋_GB2312"/>
          <w:color w:val="auto"/>
          <w:sz w:val="32"/>
          <w:szCs w:val="32"/>
          <w:highlight w:val="none"/>
        </w:rPr>
        <w:t>日制研究生</w:t>
      </w:r>
      <w:r>
        <w:rPr>
          <w:rFonts w:hint="eastAsia" w:ascii="仿宋_GB2312" w:hAnsi="仿宋_GB2312" w:eastAsia="仿宋_GB2312" w:cs="仿宋_GB2312"/>
          <w:b w:val="0"/>
          <w:bCs w:val="0"/>
          <w:color w:val="auto"/>
          <w:sz w:val="32"/>
          <w:szCs w:val="32"/>
          <w:highlight w:val="none"/>
        </w:rPr>
        <w:t>。</w:t>
      </w:r>
    </w:p>
    <w:p w14:paraId="64ECADA8">
      <w:pPr>
        <w:spacing w:line="550" w:lineRule="exact"/>
        <w:ind w:firstLine="640" w:firstLineChars="200"/>
        <w:jc w:val="both"/>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报名人员是否能在202</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月31日及之前取得毕业资格。应届毕业生统一认定为符合毕业时间条件</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Cs w:val="32"/>
          <w:highlight w:val="none"/>
          <w:lang w:val="en-US" w:eastAsia="zh-CN"/>
        </w:rPr>
        <w:t>2026届毕业生学历状态统一认定为“毕业”</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w:t>
      </w:r>
    </w:p>
    <w:p w14:paraId="42F553CF">
      <w:pPr>
        <w:spacing w:line="52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报名人员在校期间是否</w:t>
      </w:r>
      <w:r>
        <w:rPr>
          <w:rFonts w:hint="eastAsia" w:ascii="仿宋_GB2312" w:hAnsi="仿宋_GB2312" w:eastAsia="仿宋_GB2312" w:cs="仿宋_GB2312"/>
          <w:color w:val="auto"/>
          <w:kern w:val="0"/>
          <w:sz w:val="32"/>
          <w:szCs w:val="32"/>
          <w:highlight w:val="none"/>
        </w:rPr>
        <w:t>有</w:t>
      </w:r>
      <w:r>
        <w:rPr>
          <w:rFonts w:hint="eastAsia" w:ascii="仿宋_GB2312" w:hAnsi="仿宋_GB2312" w:eastAsia="仿宋_GB2312" w:cs="仿宋_GB2312"/>
          <w:color w:val="auto"/>
          <w:sz w:val="32"/>
          <w:szCs w:val="32"/>
          <w:highlight w:val="none"/>
        </w:rPr>
        <w:t>违法违纪违规</w:t>
      </w:r>
      <w:r>
        <w:rPr>
          <w:rFonts w:hint="eastAsia" w:ascii="仿宋_GB2312" w:hAnsi="仿宋_GB2312" w:eastAsia="仿宋_GB2312" w:cs="仿宋_GB2312"/>
          <w:color w:val="auto"/>
          <w:kern w:val="0"/>
          <w:sz w:val="32"/>
          <w:szCs w:val="32"/>
          <w:highlight w:val="none"/>
        </w:rPr>
        <w:t>行为</w:t>
      </w:r>
      <w:r>
        <w:rPr>
          <w:rFonts w:hint="eastAsia" w:ascii="仿宋_GB2312" w:hAnsi="仿宋_GB2312" w:eastAsia="仿宋_GB2312" w:cs="仿宋_GB2312"/>
          <w:sz w:val="32"/>
          <w:szCs w:val="32"/>
          <w:highlight w:val="none"/>
        </w:rPr>
        <w:t>，并受过严重警告及以上处分。</w:t>
      </w:r>
    </w:p>
    <w:p w14:paraId="1CD389D3">
      <w:pPr>
        <w:spacing w:line="52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报名人员在读期间必修（主修）科目补考是否达到或超过</w:t>
      </w: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门或</w:t>
      </w: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次以上。</w:t>
      </w:r>
    </w:p>
    <w:p w14:paraId="61C86B40">
      <w:pPr>
        <w:snapToGrid w:val="0"/>
        <w:spacing w:line="520" w:lineRule="exact"/>
        <w:ind w:firstLine="640" w:firstLineChars="200"/>
        <w:jc w:val="both"/>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eastAsia="zh-CN"/>
        </w:rPr>
        <w:t>量化</w:t>
      </w:r>
      <w:r>
        <w:rPr>
          <w:rFonts w:hint="eastAsia" w:ascii="楷体_GB2312" w:hAnsi="楷体_GB2312" w:eastAsia="楷体_GB2312" w:cs="楷体_GB2312"/>
          <w:sz w:val="32"/>
          <w:szCs w:val="32"/>
          <w:highlight w:val="none"/>
        </w:rPr>
        <w:t>评分</w:t>
      </w:r>
    </w:p>
    <w:p w14:paraId="27EB6DEF">
      <w:pPr>
        <w:snapToGrid w:val="0"/>
        <w:spacing w:line="55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b w:val="0"/>
          <w:bCs w:val="0"/>
          <w:sz w:val="32"/>
          <w:szCs w:val="32"/>
          <w:highlight w:val="none"/>
        </w:rPr>
        <w:t>1.</w:t>
      </w:r>
      <w:r>
        <w:rPr>
          <w:rFonts w:hint="eastAsia" w:ascii="仿宋_GB2312" w:hAnsi="仿宋_GB2312" w:eastAsia="仿宋_GB2312" w:cs="仿宋_GB2312"/>
          <w:b w:val="0"/>
          <w:bCs w:val="0"/>
          <w:sz w:val="32"/>
          <w:szCs w:val="32"/>
          <w:highlight w:val="none"/>
        </w:rPr>
        <w:t>专业成绩排名情况（满分15分）。按照报名人员所有学年学科总成绩在专业排名情况，进行量化评分（如报名审核阶段，应届毕业生最后一学期/学年成绩未出的，按照已有学年学科总成绩排名评分，评分按照四舍五入取</w:t>
      </w:r>
      <w:r>
        <w:rPr>
          <w:rFonts w:hint="eastAsia" w:ascii="仿宋_GB2312" w:hAnsi="仿宋_GB2312" w:eastAsia="仿宋_GB2312" w:cs="仿宋_GB2312"/>
          <w:sz w:val="32"/>
          <w:szCs w:val="32"/>
          <w:highlight w:val="none"/>
        </w:rPr>
        <w:t>值，汇总表填报应精确到小数点后两位）：专业成绩排名前</w:t>
      </w: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，得15分；专业成绩排名每增加1%，分数减少0.2分，如</w:t>
      </w:r>
      <w:r>
        <w:rPr>
          <w:rFonts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rPr>
        <w:t>得14.8分、7</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得14.6分，以此类推，59</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得4.2分，60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得4分，专业成绩排名61</w:t>
      </w:r>
      <w:r>
        <w:rPr>
          <w:rFonts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及</w:t>
      </w:r>
      <w:r>
        <w:rPr>
          <w:rFonts w:hint="eastAsia" w:ascii="仿宋_GB2312" w:hAnsi="仿宋_GB2312" w:eastAsia="仿宋_GB2312" w:cs="仿宋_GB2312"/>
          <w:sz w:val="32"/>
          <w:szCs w:val="32"/>
          <w:highlight w:val="none"/>
        </w:rPr>
        <w:t>以外，不得分。</w:t>
      </w:r>
    </w:p>
    <w:p w14:paraId="6D7776A1">
      <w:pPr>
        <w:snapToGrid w:val="0"/>
        <w:spacing w:line="55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b w:val="0"/>
          <w:bCs w:val="0"/>
          <w:sz w:val="32"/>
          <w:szCs w:val="32"/>
          <w:highlight w:val="none"/>
        </w:rPr>
        <w:t>2.</w:t>
      </w:r>
      <w:r>
        <w:rPr>
          <w:rFonts w:hint="eastAsia" w:ascii="仿宋_GB2312" w:hAnsi="仿宋_GB2312" w:eastAsia="仿宋_GB2312" w:cs="仿宋_GB2312"/>
          <w:b w:val="0"/>
          <w:bCs w:val="0"/>
          <w:sz w:val="32"/>
          <w:szCs w:val="32"/>
          <w:highlight w:val="none"/>
        </w:rPr>
        <w:t>获得荣誉（奖学金、奖项）情况（满分</w:t>
      </w:r>
      <w:r>
        <w:rPr>
          <w:rFonts w:ascii="仿宋_GB2312" w:hAnsi="仿宋_GB2312" w:eastAsia="仿宋_GB2312" w:cs="仿宋_GB2312"/>
          <w:b w:val="0"/>
          <w:bCs w:val="0"/>
          <w:sz w:val="32"/>
          <w:szCs w:val="32"/>
          <w:highlight w:val="none"/>
        </w:rPr>
        <w:t>10</w:t>
      </w:r>
      <w:r>
        <w:rPr>
          <w:rFonts w:hint="eastAsia" w:ascii="仿宋_GB2312" w:hAnsi="仿宋_GB2312" w:eastAsia="仿宋_GB2312" w:cs="仿宋_GB2312"/>
          <w:b w:val="0"/>
          <w:bCs w:val="0"/>
          <w:sz w:val="32"/>
          <w:szCs w:val="32"/>
          <w:highlight w:val="none"/>
        </w:rPr>
        <w:t>分）。根据报</w:t>
      </w:r>
      <w:r>
        <w:rPr>
          <w:rFonts w:hint="eastAsia" w:ascii="仿宋_GB2312" w:hAnsi="仿宋_GB2312" w:eastAsia="仿宋_GB2312" w:cs="仿宋_GB2312"/>
          <w:sz w:val="32"/>
          <w:szCs w:val="32"/>
          <w:highlight w:val="none"/>
        </w:rPr>
        <w:t>名人员在校获得荣誉（奖学金、奖项）情况，进行量化评分：</w:t>
      </w:r>
    </w:p>
    <w:p w14:paraId="6D6A21B8">
      <w:pPr>
        <w:snapToGrid w:val="0"/>
        <w:spacing w:line="55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）获得国家级赛事奖项；获得省级及以上荣誉（奖学金）；青年马克思主义培养工程省级班结业学员</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得10分。</w:t>
      </w:r>
    </w:p>
    <w:p w14:paraId="0D11BF21">
      <w:pPr>
        <w:snapToGrid w:val="0"/>
        <w:spacing w:line="55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）获得市级荣誉（奖学金）；青年马克思主义培养工程市级班结业学员得8分。</w:t>
      </w:r>
    </w:p>
    <w:p w14:paraId="6EDEE8C6">
      <w:pPr>
        <w:snapToGrid w:val="0"/>
        <w:spacing w:line="55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）获得省级赛事奖项；获得校级荣誉（奖学金，含校级以上家庭经济困难学生奖学金）；青年马克思主义培养工程校级班结业学员得5分。</w:t>
      </w:r>
    </w:p>
    <w:p w14:paraId="106F1060">
      <w:pPr>
        <w:snapToGrid w:val="0"/>
        <w:spacing w:line="55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rPr>
        <w:t>获得荣誉包括在校获省级及以上、市级</w:t>
      </w:r>
      <w:r>
        <w:rPr>
          <w:rFonts w:hint="eastAsia" w:ascii="仿宋_GB2312" w:hAnsi="仿宋_GB2312" w:eastAsia="仿宋_GB2312" w:cs="仿宋_GB2312"/>
          <w:b w:val="0"/>
          <w:bCs w:val="0"/>
          <w:sz w:val="32"/>
          <w:szCs w:val="32"/>
          <w:highlight w:val="none"/>
        </w:rPr>
        <w:t>、校级优秀学生干部、优秀学生、优秀团干、三好学生、优秀毕业生荣誉称号。</w:t>
      </w:r>
    </w:p>
    <w:p w14:paraId="5BA2E8C4">
      <w:pPr>
        <w:snapToGrid w:val="0"/>
        <w:spacing w:line="55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获得奖学金不包括捐助类奖学金、助学金，国家励志奖学金等校级以上家庭经济困难类奖学金按照校级奖学金评分</w:t>
      </w:r>
      <w:r>
        <w:rPr>
          <w:rFonts w:hint="eastAsia" w:ascii="仿宋_GB2312" w:hAnsi="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获得家庭经济困难类奖学金报名人员已享受困难状况加分，不再重复加分。</w:t>
      </w:r>
    </w:p>
    <w:p w14:paraId="4BBAF5C1">
      <w:pPr>
        <w:snapToGrid w:val="0"/>
        <w:spacing w:line="550" w:lineRule="exact"/>
        <w:ind w:firstLine="640"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sz w:val="32"/>
          <w:szCs w:val="32"/>
          <w:highlight w:val="none"/>
        </w:rPr>
        <w:t>获得奖项包括政府部门主办省级及以上职业技能大赛、职业规划大赛、创新创业大赛三等奖及以</w:t>
      </w:r>
      <w:r>
        <w:rPr>
          <w:rFonts w:hint="eastAsia" w:ascii="仿宋_GB2312" w:hAnsi="仿宋_GB2312" w:eastAsia="仿宋_GB2312" w:cs="仿宋_GB2312"/>
          <w:b w:val="0"/>
          <w:bCs w:val="0"/>
          <w:color w:val="auto"/>
          <w:sz w:val="32"/>
          <w:szCs w:val="32"/>
          <w:highlight w:val="none"/>
        </w:rPr>
        <w:t>上、</w:t>
      </w:r>
      <w:r>
        <w:rPr>
          <w:rFonts w:hint="eastAsia" w:ascii="仿宋_GB2312" w:hAnsi="仿宋_GB2312" w:cs="仿宋_GB2312"/>
          <w:b w:val="0"/>
          <w:bCs w:val="0"/>
          <w:color w:val="auto"/>
          <w:sz w:val="32"/>
          <w:szCs w:val="32"/>
          <w:highlight w:val="none"/>
          <w:lang w:eastAsia="zh-CN"/>
        </w:rPr>
        <w:t>福建省</w:t>
      </w:r>
      <w:r>
        <w:rPr>
          <w:rFonts w:hint="eastAsia" w:ascii="仿宋_GB2312" w:hAnsi="仿宋_GB2312" w:eastAsia="仿宋_GB2312" w:cs="仿宋_GB2312"/>
          <w:b w:val="0"/>
          <w:bCs w:val="0"/>
          <w:color w:val="auto"/>
          <w:sz w:val="32"/>
          <w:szCs w:val="32"/>
          <w:highlight w:val="none"/>
        </w:rPr>
        <w:t>大中专毕业生创业省级资助。</w:t>
      </w:r>
    </w:p>
    <w:p w14:paraId="26C63778">
      <w:pPr>
        <w:snapToGrid w:val="0"/>
        <w:spacing w:line="55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荣誉（奖学金、奖项）以提供的证书为准（校级以上荣誉、奖学金、奖项证书应有政府部门公章，校级证书应有学校公章，不包括院校部处、二级学院或院系所发证书）。</w:t>
      </w:r>
    </w:p>
    <w:p w14:paraId="06508066">
      <w:pPr>
        <w:snapToGrid w:val="0"/>
        <w:spacing w:line="550" w:lineRule="exact"/>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rPr>
        <w:t>以上荣誉（奖学金、奖项），按照就高原则评分，不累计加分。报名人员专业成绩排名、获得荣誉（奖学金、奖项）情况应是在</w:t>
      </w:r>
      <w:r>
        <w:rPr>
          <w:rFonts w:hint="eastAsia" w:ascii="仿宋_GB2312" w:hAnsi="仿宋_GB2312" w:eastAsia="仿宋_GB2312" w:cs="仿宋_GB2312"/>
          <w:b w:val="0"/>
          <w:bCs w:val="0"/>
          <w:sz w:val="32"/>
          <w:szCs w:val="32"/>
          <w:highlight w:val="none"/>
        </w:rPr>
        <w:t>报名学历期间取得。</w:t>
      </w:r>
    </w:p>
    <w:p w14:paraId="7B4B1633">
      <w:pPr>
        <w:snapToGrid w:val="0"/>
        <w:spacing w:line="520" w:lineRule="exact"/>
        <w:ind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四、审核方式</w:t>
      </w:r>
    </w:p>
    <w:p w14:paraId="6D09F0FD">
      <w:pPr>
        <w:spacing w:line="52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由报名人员下载打印本人《报名表》《2026年福建省“三支一扶”计划工作各设区市联系渠道清单》，连同本办法一起寄送所在学校院（系）审核。毕业生所在学校院（系）按照本办法要求审核毕业生情况，如实填写《福建省202</w:t>
      </w:r>
      <w:r>
        <w:rPr>
          <w:rFonts w:hint="eastAsia" w:ascii="仿宋_GB2312" w:hAnsi="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rPr>
        <w:t>年“三支一扶”计划省外高校福建生源毕业生报名人员</w:t>
      </w:r>
      <w:r>
        <w:rPr>
          <w:rFonts w:hint="eastAsia" w:ascii="仿宋_GB2312" w:hAnsi="仿宋_GB2312" w:cs="仿宋_GB2312"/>
          <w:b w:val="0"/>
          <w:bCs w:val="0"/>
          <w:sz w:val="32"/>
          <w:szCs w:val="32"/>
          <w:highlight w:val="none"/>
          <w:lang w:eastAsia="zh-CN"/>
        </w:rPr>
        <w:t>审核</w:t>
      </w:r>
      <w:r>
        <w:rPr>
          <w:rFonts w:hint="eastAsia" w:ascii="仿宋_GB2312" w:hAnsi="仿宋_GB2312" w:eastAsia="仿宋_GB2312" w:cs="仿宋_GB2312"/>
          <w:b w:val="0"/>
          <w:bCs w:val="0"/>
          <w:sz w:val="32"/>
          <w:szCs w:val="32"/>
          <w:highlight w:val="none"/>
        </w:rPr>
        <w:t>汇总表》，加盖院校或就业工作部门公章后于5月</w:t>
      </w:r>
      <w:r>
        <w:rPr>
          <w:rFonts w:hint="eastAsia" w:ascii="仿宋_GB2312" w:hAnsi="仿宋_GB2312" w:cs="仿宋_GB2312"/>
          <w:b w:val="0"/>
          <w:bCs w:val="0"/>
          <w:sz w:val="32"/>
          <w:szCs w:val="32"/>
          <w:highlight w:val="none"/>
          <w:lang w:val="en-US" w:eastAsia="zh-CN"/>
        </w:rPr>
        <w:t>15</w:t>
      </w:r>
      <w:r>
        <w:rPr>
          <w:rFonts w:hint="eastAsia" w:ascii="仿宋_GB2312" w:hAnsi="仿宋_GB2312" w:eastAsia="仿宋_GB2312" w:cs="仿宋_GB2312"/>
          <w:b w:val="0"/>
          <w:bCs w:val="0"/>
          <w:sz w:val="32"/>
          <w:szCs w:val="32"/>
          <w:highlight w:val="none"/>
        </w:rPr>
        <w:t>日前寄送至报名岗位所在设区市人社部门。</w:t>
      </w:r>
    </w:p>
    <w:p w14:paraId="618A0B09">
      <w:pPr>
        <w:snapToGrid w:val="0"/>
        <w:spacing w:line="520" w:lineRule="exact"/>
        <w:ind w:firstLine="640" w:firstLineChars="2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五、工作要求</w:t>
      </w:r>
    </w:p>
    <w:p w14:paraId="5CCC5499">
      <w:pPr>
        <w:snapToGrid w:val="0"/>
        <w:spacing w:line="52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坚持“谁审核、谁把关、谁负责”的原则，福建省大中专毕业生就业工作</w:t>
      </w:r>
      <w:r>
        <w:rPr>
          <w:rFonts w:hint="eastAsia" w:ascii="仿宋_GB2312" w:hAnsi="仿宋_GB2312" w:cs="仿宋_GB2312"/>
          <w:sz w:val="32"/>
          <w:szCs w:val="32"/>
          <w:highlight w:val="none"/>
          <w:lang w:eastAsia="zh-CN"/>
        </w:rPr>
        <w:t>中心</w:t>
      </w:r>
      <w:r>
        <w:rPr>
          <w:rFonts w:hint="eastAsia" w:ascii="仿宋_GB2312" w:hAnsi="仿宋_GB2312" w:eastAsia="仿宋_GB2312" w:cs="仿宋_GB2312"/>
          <w:sz w:val="32"/>
          <w:szCs w:val="32"/>
          <w:highlight w:val="none"/>
        </w:rPr>
        <w:t>负责报名人员审核工作的统筹指导，各院校负责报名人员审核工作的具体组织实施，各有关设区市和平潭综合实验区人社部门负责复核并代院校进行网上录入。审核过程中，若出现徇私舞弊或失职渎职的，将依照相关规定追究有关人员责任。</w:t>
      </w:r>
    </w:p>
    <w:p w14:paraId="737378AE">
      <w:pPr>
        <w:jc w:val="both"/>
        <w:rPr>
          <w:rFonts w:hint="eastAsia" w:ascii="仿宋_GB2312" w:hAnsi="Times New Roman" w:cs="Times New Roman"/>
          <w:spacing w:val="-6"/>
          <w:highlight w:val="none"/>
          <w:lang w:bidi="ar"/>
        </w:rPr>
      </w:pPr>
    </w:p>
    <w:p w14:paraId="1F049816">
      <w:pPr>
        <w:snapToGrid w:val="0"/>
        <w:spacing w:line="520" w:lineRule="exact"/>
        <w:ind w:left="1920" w:leftChars="200" w:hanging="1280" w:hangingChars="4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附件：1.福建省202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年“三支一扶”计划省外高校福建生源毕业生报名人员</w:t>
      </w:r>
      <w:r>
        <w:rPr>
          <w:rFonts w:hint="eastAsia" w:ascii="仿宋_GB2312" w:hAnsi="仿宋_GB2312" w:cs="仿宋_GB2312"/>
          <w:sz w:val="32"/>
          <w:szCs w:val="32"/>
          <w:highlight w:val="none"/>
          <w:lang w:val="en-US" w:eastAsia="zh-CN"/>
        </w:rPr>
        <w:t>审</w:t>
      </w:r>
      <w:r>
        <w:rPr>
          <w:rFonts w:hint="eastAsia" w:ascii="仿宋_GB2312" w:hAnsi="仿宋_GB2312" w:eastAsia="仿宋_GB2312" w:cs="仿宋_GB2312"/>
          <w:sz w:val="32"/>
          <w:szCs w:val="32"/>
          <w:highlight w:val="none"/>
          <w:lang w:val="en-US" w:eastAsia="zh-CN"/>
        </w:rPr>
        <w:t>核</w:t>
      </w:r>
      <w:r>
        <w:rPr>
          <w:rFonts w:hint="eastAsia" w:ascii="仿宋_GB2312" w:hAnsi="仿宋_GB2312" w:eastAsia="仿宋_GB2312" w:cs="仿宋_GB2312"/>
          <w:sz w:val="32"/>
          <w:szCs w:val="32"/>
          <w:highlight w:val="none"/>
        </w:rPr>
        <w:t>汇总表</w:t>
      </w:r>
    </w:p>
    <w:p w14:paraId="5A486BAF">
      <w:pPr>
        <w:snapToGrid w:val="0"/>
        <w:spacing w:line="520" w:lineRule="exact"/>
        <w:ind w:left="1920" w:leftChars="500" w:hanging="320" w:hangingChars="1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2.2026年福建省“三支一扶”计划工作各设区市联系渠道清单</w:t>
      </w:r>
    </w:p>
    <w:p w14:paraId="401A51A3">
      <w:pPr>
        <w:rPr>
          <w:rFonts w:hint="eastAsia" w:ascii="仿宋_GB2312" w:hAnsi="Times New Roman" w:cs="Times New Roman"/>
          <w:spacing w:val="-6"/>
          <w:highlight w:val="none"/>
          <w:lang w:bidi="ar"/>
        </w:rPr>
      </w:pPr>
    </w:p>
    <w:p w14:paraId="6B25E6F2">
      <w:pPr>
        <w:rPr>
          <w:rFonts w:hint="default" w:ascii="仿宋_GB2312" w:cs="Times New Roman"/>
          <w:spacing w:val="-6"/>
          <w:highlight w:val="none"/>
          <w:lang w:val="en-US" w:eastAsia="zh-CN" w:bidi="ar"/>
        </w:rPr>
      </w:pPr>
      <w:r>
        <w:rPr>
          <w:rFonts w:hint="eastAsia" w:ascii="仿宋_GB2312" w:cs="Times New Roman"/>
          <w:spacing w:val="-6"/>
          <w:highlight w:val="none"/>
          <w:lang w:val="en-US" w:eastAsia="zh-CN" w:bidi="ar"/>
        </w:rPr>
        <w:t xml:space="preserve">                        </w:t>
      </w:r>
    </w:p>
    <w:p w14:paraId="248F5663">
      <w:pPr>
        <w:rPr>
          <w:rFonts w:hint="eastAsia" w:ascii="仿宋_GB2312" w:hAnsi="Times New Roman" w:cs="Times New Roman"/>
          <w:spacing w:val="-6"/>
          <w:highlight w:val="none"/>
          <w:lang w:bidi="ar"/>
        </w:rPr>
      </w:pPr>
    </w:p>
    <w:p w14:paraId="16856972">
      <w:pPr>
        <w:rPr>
          <w:rFonts w:hint="eastAsia" w:ascii="仿宋_GB2312" w:hAnsi="Times New Roman" w:cs="Times New Roman"/>
          <w:spacing w:val="-6"/>
          <w:highlight w:val="none"/>
          <w:lang w:bidi="ar"/>
        </w:rPr>
      </w:pPr>
    </w:p>
    <w:p w14:paraId="3BD61045">
      <w:pPr>
        <w:rPr>
          <w:rFonts w:hint="eastAsia" w:ascii="仿宋_GB2312" w:hAnsi="Times New Roman" w:cs="Times New Roman"/>
          <w:spacing w:val="-6"/>
          <w:highlight w:val="none"/>
          <w:lang w:bidi="ar"/>
        </w:rPr>
      </w:pPr>
    </w:p>
    <w:p w14:paraId="1BA00057">
      <w:pPr>
        <w:rPr>
          <w:rFonts w:hint="eastAsia" w:ascii="仿宋_GB2312" w:hAnsi="Times New Roman" w:cs="Times New Roman"/>
          <w:spacing w:val="-6"/>
          <w:highlight w:val="none"/>
          <w:lang w:bidi="ar"/>
        </w:rPr>
      </w:pPr>
    </w:p>
    <w:p w14:paraId="7784FC35">
      <w:pPr>
        <w:rPr>
          <w:rFonts w:hint="eastAsia" w:ascii="仿宋_GB2312" w:hAnsi="Times New Roman" w:cs="Times New Roman"/>
          <w:spacing w:val="-6"/>
          <w:highlight w:val="none"/>
          <w:lang w:bidi="ar"/>
        </w:rPr>
      </w:pPr>
    </w:p>
    <w:p w14:paraId="41DC6019">
      <w:pPr>
        <w:rPr>
          <w:rFonts w:hint="eastAsia" w:ascii="仿宋_GB2312" w:hAnsi="Times New Roman" w:cs="Times New Roman"/>
          <w:spacing w:val="-6"/>
          <w:highlight w:val="none"/>
          <w:lang w:bidi="ar"/>
        </w:rPr>
      </w:pPr>
    </w:p>
    <w:p w14:paraId="237129F9">
      <w:pPr>
        <w:rPr>
          <w:rFonts w:hint="eastAsia" w:ascii="仿宋_GB2312" w:hAnsi="Times New Roman" w:cs="Times New Roman"/>
          <w:spacing w:val="-6"/>
          <w:highlight w:val="none"/>
          <w:lang w:bidi="ar"/>
        </w:rPr>
      </w:pPr>
    </w:p>
    <w:p w14:paraId="3987CCCE">
      <w:pPr>
        <w:rPr>
          <w:rFonts w:hint="eastAsia" w:ascii="仿宋_GB2312" w:hAnsi="Times New Roman" w:cs="Times New Roman"/>
          <w:spacing w:val="-6"/>
          <w:highlight w:val="none"/>
          <w:lang w:bidi="ar"/>
        </w:rPr>
      </w:pPr>
    </w:p>
    <w:p w14:paraId="74D24157">
      <w:pPr>
        <w:rPr>
          <w:rFonts w:hint="eastAsia" w:ascii="仿宋_GB2312" w:hAnsi="Times New Roman" w:cs="Times New Roman"/>
          <w:spacing w:val="-6"/>
          <w:highlight w:val="none"/>
          <w:lang w:bidi="ar"/>
        </w:rPr>
      </w:pPr>
    </w:p>
    <w:p w14:paraId="42093320">
      <w:pPr>
        <w:rPr>
          <w:rFonts w:hint="eastAsia" w:ascii="仿宋_GB2312" w:hAnsi="Times New Roman" w:cs="Times New Roman"/>
          <w:spacing w:val="-6"/>
          <w:highlight w:val="none"/>
          <w:lang w:bidi="ar"/>
        </w:rPr>
        <w:sectPr>
          <w:pgSz w:w="11906" w:h="16838"/>
          <w:pgMar w:top="1440" w:right="1800" w:bottom="1440" w:left="1800" w:header="851" w:footer="992" w:gutter="0"/>
          <w:cols w:space="425" w:num="1"/>
          <w:docGrid w:type="lines" w:linePitch="312" w:charSpace="0"/>
        </w:sectPr>
      </w:pPr>
    </w:p>
    <w:p w14:paraId="59B60276">
      <w:pPr>
        <w:spacing w:line="520" w:lineRule="exact"/>
        <w:rPr>
          <w:rFonts w:hint="eastAsia" w:ascii="黑体" w:eastAsia="黑体"/>
          <w:bCs/>
          <w:color w:val="auto"/>
          <w:kern w:val="0"/>
          <w:sz w:val="32"/>
          <w:szCs w:val="32"/>
          <w:lang w:val="en-US" w:eastAsia="zh-CN"/>
        </w:rPr>
      </w:pPr>
      <w:r>
        <w:rPr>
          <w:rFonts w:hint="eastAsia" w:ascii="黑体" w:eastAsia="黑体"/>
          <w:bCs/>
          <w:color w:val="auto"/>
          <w:kern w:val="0"/>
          <w:sz w:val="32"/>
          <w:szCs w:val="32"/>
        </w:rPr>
        <w:t>附件</w:t>
      </w:r>
      <w:r>
        <w:rPr>
          <w:rFonts w:hint="eastAsia" w:ascii="黑体" w:eastAsia="黑体"/>
          <w:bCs/>
          <w:color w:val="auto"/>
          <w:kern w:val="0"/>
          <w:sz w:val="32"/>
          <w:szCs w:val="32"/>
          <w:lang w:val="en-US" w:eastAsia="zh-CN"/>
        </w:rPr>
        <w:t>1</w:t>
      </w:r>
    </w:p>
    <w:p w14:paraId="574401B3">
      <w:pPr>
        <w:spacing w:line="520" w:lineRule="exact"/>
        <w:rPr>
          <w:rFonts w:hint="eastAsia" w:ascii="黑体" w:eastAsia="黑体"/>
          <w:bCs/>
          <w:color w:val="auto"/>
          <w:kern w:val="0"/>
          <w:sz w:val="32"/>
          <w:szCs w:val="32"/>
          <w:lang w:val="en-US" w:eastAsia="zh-CN"/>
        </w:rPr>
      </w:pPr>
    </w:p>
    <w:p w14:paraId="452BB915">
      <w:pPr>
        <w:spacing w:line="520" w:lineRule="exact"/>
        <w:jc w:val="center"/>
        <w:rPr>
          <w:rFonts w:ascii="宋体"/>
          <w:b/>
          <w:color w:val="auto"/>
          <w:sz w:val="36"/>
          <w:szCs w:val="36"/>
        </w:rPr>
      </w:pPr>
      <w:r>
        <w:rPr>
          <w:rFonts w:hint="eastAsia" w:ascii="方正小标宋简体" w:hAnsi="宋体" w:eastAsia="方正小标宋简体" w:cs="Times New Roman"/>
          <w:sz w:val="36"/>
          <w:szCs w:val="36"/>
          <w:highlight w:val="none"/>
          <w:lang w:val="en-US" w:eastAsia="zh-CN"/>
        </w:rPr>
        <w:t>福建省2026年“三支一扶”计划省外高校福建生源毕业生报名人员审核汇总表</w:t>
      </w:r>
    </w:p>
    <w:p w14:paraId="52CA2833">
      <w:pPr>
        <w:spacing w:line="5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学校：（盖章）</w:t>
      </w:r>
    </w:p>
    <w:tbl>
      <w:tblPr>
        <w:tblStyle w:val="2"/>
        <w:tblW w:w="1518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49"/>
        <w:gridCol w:w="629"/>
        <w:gridCol w:w="698"/>
        <w:gridCol w:w="593"/>
        <w:gridCol w:w="764"/>
        <w:gridCol w:w="765"/>
        <w:gridCol w:w="571"/>
        <w:gridCol w:w="571"/>
        <w:gridCol w:w="607"/>
        <w:gridCol w:w="1036"/>
        <w:gridCol w:w="965"/>
        <w:gridCol w:w="853"/>
        <w:gridCol w:w="1003"/>
        <w:gridCol w:w="892"/>
        <w:gridCol w:w="1109"/>
        <w:gridCol w:w="1579"/>
        <w:gridCol w:w="1579"/>
      </w:tblGrid>
      <w:tr w14:paraId="6CDF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426" w:type="dxa"/>
            <w:vAlign w:val="center"/>
          </w:tcPr>
          <w:p w14:paraId="19EB93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序号</w:t>
            </w:r>
          </w:p>
        </w:tc>
        <w:tc>
          <w:tcPr>
            <w:tcW w:w="549" w:type="dxa"/>
            <w:vAlign w:val="center"/>
          </w:tcPr>
          <w:p w14:paraId="7F47C7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姓名</w:t>
            </w:r>
          </w:p>
        </w:tc>
        <w:tc>
          <w:tcPr>
            <w:tcW w:w="629" w:type="dxa"/>
            <w:vAlign w:val="center"/>
          </w:tcPr>
          <w:p w14:paraId="0D8A99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身份证号</w:t>
            </w:r>
          </w:p>
        </w:tc>
        <w:tc>
          <w:tcPr>
            <w:tcW w:w="698" w:type="dxa"/>
            <w:vAlign w:val="center"/>
          </w:tcPr>
          <w:p w14:paraId="789CD7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生源地（精确到县）</w:t>
            </w:r>
          </w:p>
        </w:tc>
        <w:tc>
          <w:tcPr>
            <w:tcW w:w="593" w:type="dxa"/>
            <w:vAlign w:val="center"/>
          </w:tcPr>
          <w:p w14:paraId="333C9B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民族</w:t>
            </w:r>
          </w:p>
        </w:tc>
        <w:tc>
          <w:tcPr>
            <w:tcW w:w="764" w:type="dxa"/>
            <w:vAlign w:val="center"/>
          </w:tcPr>
          <w:p w14:paraId="5D7087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政治面貌</w:t>
            </w:r>
          </w:p>
        </w:tc>
        <w:tc>
          <w:tcPr>
            <w:tcW w:w="765" w:type="dxa"/>
            <w:vAlign w:val="center"/>
          </w:tcPr>
          <w:p w14:paraId="1A8837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是否属全日制毕业生</w:t>
            </w:r>
          </w:p>
        </w:tc>
        <w:tc>
          <w:tcPr>
            <w:tcW w:w="571" w:type="dxa"/>
            <w:vAlign w:val="center"/>
          </w:tcPr>
          <w:p w14:paraId="619439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4"/>
              </w:rPr>
            </w:pPr>
            <w:r>
              <w:rPr>
                <w:rFonts w:hint="default" w:ascii="仿宋_GB2312" w:hAnsi="仿宋_GB2312" w:eastAsia="仿宋_GB2312" w:cs="仿宋_GB2312"/>
                <w:b/>
                <w:bCs/>
                <w:color w:val="auto"/>
                <w:sz w:val="24"/>
              </w:rPr>
              <w:t>毕业时间</w:t>
            </w:r>
          </w:p>
        </w:tc>
        <w:tc>
          <w:tcPr>
            <w:tcW w:w="571" w:type="dxa"/>
            <w:vAlign w:val="center"/>
          </w:tcPr>
          <w:p w14:paraId="5E68F3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学历</w:t>
            </w:r>
          </w:p>
        </w:tc>
        <w:tc>
          <w:tcPr>
            <w:tcW w:w="607" w:type="dxa"/>
            <w:vAlign w:val="center"/>
          </w:tcPr>
          <w:p w14:paraId="2FEFD7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专业</w:t>
            </w:r>
          </w:p>
        </w:tc>
        <w:tc>
          <w:tcPr>
            <w:tcW w:w="1036" w:type="dxa"/>
            <w:vAlign w:val="center"/>
          </w:tcPr>
          <w:p w14:paraId="1C136C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是否有违法违纪违规行为</w:t>
            </w:r>
          </w:p>
        </w:tc>
        <w:tc>
          <w:tcPr>
            <w:tcW w:w="965" w:type="dxa"/>
            <w:vAlign w:val="center"/>
          </w:tcPr>
          <w:p w14:paraId="166C50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必修（主修）科目是否达标</w:t>
            </w:r>
          </w:p>
        </w:tc>
        <w:tc>
          <w:tcPr>
            <w:tcW w:w="853" w:type="dxa"/>
            <w:vAlign w:val="center"/>
          </w:tcPr>
          <w:p w14:paraId="673BC0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报名单位</w:t>
            </w:r>
          </w:p>
        </w:tc>
        <w:tc>
          <w:tcPr>
            <w:tcW w:w="1003" w:type="dxa"/>
            <w:vAlign w:val="center"/>
          </w:tcPr>
          <w:p w14:paraId="17BDE3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专业成绩排名得分</w:t>
            </w:r>
          </w:p>
        </w:tc>
        <w:tc>
          <w:tcPr>
            <w:tcW w:w="892" w:type="dxa"/>
            <w:vAlign w:val="center"/>
          </w:tcPr>
          <w:p w14:paraId="33D9C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专业成绩排名（</w:t>
            </w:r>
            <w:r>
              <w:rPr>
                <w:rFonts w:ascii="仿宋_GB2312" w:hAnsi="仿宋_GB2312" w:eastAsia="仿宋_GB2312" w:cs="仿宋_GB2312"/>
                <w:b/>
                <w:bCs/>
                <w:color w:val="auto"/>
                <w:sz w:val="24"/>
              </w:rPr>
              <w:t>%</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lang w:val="en-US" w:eastAsia="zh-CN"/>
              </w:rPr>
              <w:t>精确到小数点后两位</w:t>
            </w:r>
            <w:r>
              <w:rPr>
                <w:rFonts w:hint="eastAsia" w:ascii="仿宋_GB2312" w:hAnsi="仿宋_GB2312" w:eastAsia="仿宋_GB2312" w:cs="仿宋_GB2312"/>
                <w:b/>
                <w:bCs/>
                <w:color w:val="auto"/>
                <w:sz w:val="24"/>
              </w:rPr>
              <w:t>）</w:t>
            </w:r>
          </w:p>
        </w:tc>
        <w:tc>
          <w:tcPr>
            <w:tcW w:w="1109" w:type="dxa"/>
            <w:vAlign w:val="center"/>
          </w:tcPr>
          <w:p w14:paraId="50D62E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获得荣誉（奖学金、奖项）</w:t>
            </w:r>
            <w:r>
              <w:rPr>
                <w:rFonts w:hint="eastAsia" w:ascii="仿宋_GB2312" w:hAnsi="仿宋_GB2312" w:eastAsia="仿宋_GB2312" w:cs="仿宋_GB2312"/>
                <w:b/>
                <w:bCs/>
                <w:color w:val="auto"/>
                <w:sz w:val="24"/>
              </w:rPr>
              <w:t>情况得分</w:t>
            </w:r>
          </w:p>
        </w:tc>
        <w:tc>
          <w:tcPr>
            <w:tcW w:w="1579" w:type="dxa"/>
            <w:vAlign w:val="center"/>
          </w:tcPr>
          <w:p w14:paraId="07BBE6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获得荣誉（奖学金、奖项）</w:t>
            </w:r>
            <w:r>
              <w:rPr>
                <w:rFonts w:hint="eastAsia" w:ascii="仿宋_GB2312" w:hAnsi="仿宋_GB2312" w:eastAsia="仿宋_GB2312" w:cs="仿宋_GB2312"/>
                <w:b/>
                <w:bCs/>
                <w:color w:val="auto"/>
                <w:sz w:val="24"/>
              </w:rPr>
              <w:t>情况</w:t>
            </w:r>
          </w:p>
        </w:tc>
        <w:tc>
          <w:tcPr>
            <w:tcW w:w="1579" w:type="dxa"/>
            <w:vAlign w:val="center"/>
          </w:tcPr>
          <w:p w14:paraId="16A5C7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备注</w:t>
            </w:r>
          </w:p>
        </w:tc>
      </w:tr>
      <w:tr w14:paraId="1C7E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426" w:type="dxa"/>
            <w:vAlign w:val="center"/>
          </w:tcPr>
          <w:p w14:paraId="6638DE28">
            <w:pPr>
              <w:spacing w:line="520" w:lineRule="exact"/>
              <w:jc w:val="center"/>
              <w:rPr>
                <w:rFonts w:ascii="仿宋_GB2312"/>
                <w:color w:val="auto"/>
                <w:sz w:val="24"/>
              </w:rPr>
            </w:pPr>
          </w:p>
        </w:tc>
        <w:tc>
          <w:tcPr>
            <w:tcW w:w="549" w:type="dxa"/>
            <w:vAlign w:val="center"/>
          </w:tcPr>
          <w:p w14:paraId="6DA13C45">
            <w:pPr>
              <w:spacing w:line="520" w:lineRule="exact"/>
              <w:jc w:val="center"/>
              <w:rPr>
                <w:rFonts w:ascii="仿宋_GB2312"/>
                <w:color w:val="auto"/>
                <w:sz w:val="24"/>
              </w:rPr>
            </w:pPr>
          </w:p>
        </w:tc>
        <w:tc>
          <w:tcPr>
            <w:tcW w:w="629" w:type="dxa"/>
            <w:vAlign w:val="center"/>
          </w:tcPr>
          <w:p w14:paraId="5B6379A3">
            <w:pPr>
              <w:spacing w:line="520" w:lineRule="exact"/>
              <w:jc w:val="center"/>
              <w:rPr>
                <w:rFonts w:ascii="仿宋_GB2312"/>
                <w:color w:val="auto"/>
                <w:sz w:val="24"/>
              </w:rPr>
            </w:pPr>
          </w:p>
        </w:tc>
        <w:tc>
          <w:tcPr>
            <w:tcW w:w="698" w:type="dxa"/>
            <w:vAlign w:val="center"/>
          </w:tcPr>
          <w:p w14:paraId="6AF7B9E8">
            <w:pPr>
              <w:spacing w:line="520" w:lineRule="exact"/>
              <w:jc w:val="center"/>
              <w:rPr>
                <w:rFonts w:ascii="仿宋_GB2312"/>
                <w:color w:val="auto"/>
                <w:sz w:val="24"/>
              </w:rPr>
            </w:pPr>
          </w:p>
        </w:tc>
        <w:tc>
          <w:tcPr>
            <w:tcW w:w="593" w:type="dxa"/>
            <w:vAlign w:val="center"/>
          </w:tcPr>
          <w:p w14:paraId="1941D84A">
            <w:pPr>
              <w:spacing w:line="520" w:lineRule="exact"/>
              <w:jc w:val="center"/>
              <w:rPr>
                <w:rFonts w:ascii="仿宋_GB2312"/>
                <w:color w:val="auto"/>
                <w:sz w:val="24"/>
              </w:rPr>
            </w:pPr>
          </w:p>
        </w:tc>
        <w:tc>
          <w:tcPr>
            <w:tcW w:w="764" w:type="dxa"/>
            <w:vAlign w:val="center"/>
          </w:tcPr>
          <w:p w14:paraId="0960DD4E">
            <w:pPr>
              <w:spacing w:line="520" w:lineRule="exact"/>
              <w:jc w:val="center"/>
              <w:rPr>
                <w:rFonts w:ascii="仿宋_GB2312"/>
                <w:color w:val="auto"/>
                <w:sz w:val="24"/>
              </w:rPr>
            </w:pPr>
          </w:p>
        </w:tc>
        <w:tc>
          <w:tcPr>
            <w:tcW w:w="765" w:type="dxa"/>
            <w:vAlign w:val="center"/>
          </w:tcPr>
          <w:p w14:paraId="246DD4A1">
            <w:pPr>
              <w:spacing w:line="520" w:lineRule="exact"/>
              <w:jc w:val="center"/>
              <w:rPr>
                <w:rFonts w:ascii="仿宋_GB2312"/>
                <w:color w:val="auto"/>
                <w:sz w:val="24"/>
              </w:rPr>
            </w:pPr>
          </w:p>
        </w:tc>
        <w:tc>
          <w:tcPr>
            <w:tcW w:w="571" w:type="dxa"/>
            <w:vAlign w:val="center"/>
          </w:tcPr>
          <w:p w14:paraId="7E7C9A64">
            <w:pPr>
              <w:spacing w:line="520" w:lineRule="exact"/>
              <w:jc w:val="center"/>
              <w:rPr>
                <w:rFonts w:ascii="仿宋_GB2312"/>
                <w:color w:val="auto"/>
                <w:sz w:val="24"/>
              </w:rPr>
            </w:pPr>
          </w:p>
        </w:tc>
        <w:tc>
          <w:tcPr>
            <w:tcW w:w="571" w:type="dxa"/>
            <w:vAlign w:val="center"/>
          </w:tcPr>
          <w:p w14:paraId="6F44A478">
            <w:pPr>
              <w:spacing w:line="520" w:lineRule="exact"/>
              <w:jc w:val="center"/>
              <w:rPr>
                <w:rFonts w:ascii="仿宋_GB2312"/>
                <w:color w:val="auto"/>
                <w:sz w:val="24"/>
              </w:rPr>
            </w:pPr>
          </w:p>
        </w:tc>
        <w:tc>
          <w:tcPr>
            <w:tcW w:w="607" w:type="dxa"/>
            <w:vAlign w:val="center"/>
          </w:tcPr>
          <w:p w14:paraId="6A7441FC">
            <w:pPr>
              <w:spacing w:line="520" w:lineRule="exact"/>
              <w:jc w:val="center"/>
              <w:rPr>
                <w:rFonts w:ascii="仿宋_GB2312"/>
                <w:color w:val="auto"/>
                <w:sz w:val="24"/>
              </w:rPr>
            </w:pPr>
          </w:p>
        </w:tc>
        <w:tc>
          <w:tcPr>
            <w:tcW w:w="1036" w:type="dxa"/>
            <w:vAlign w:val="center"/>
          </w:tcPr>
          <w:p w14:paraId="6768D8FF">
            <w:pPr>
              <w:spacing w:line="520" w:lineRule="exact"/>
              <w:jc w:val="center"/>
              <w:rPr>
                <w:rFonts w:ascii="仿宋_GB2312"/>
                <w:color w:val="auto"/>
                <w:sz w:val="24"/>
              </w:rPr>
            </w:pPr>
          </w:p>
        </w:tc>
        <w:tc>
          <w:tcPr>
            <w:tcW w:w="965" w:type="dxa"/>
            <w:vAlign w:val="center"/>
          </w:tcPr>
          <w:p w14:paraId="0693E50F">
            <w:pPr>
              <w:spacing w:line="520" w:lineRule="exact"/>
              <w:jc w:val="center"/>
              <w:rPr>
                <w:rFonts w:ascii="仿宋_GB2312"/>
                <w:color w:val="auto"/>
                <w:sz w:val="24"/>
              </w:rPr>
            </w:pPr>
          </w:p>
        </w:tc>
        <w:tc>
          <w:tcPr>
            <w:tcW w:w="853" w:type="dxa"/>
            <w:vAlign w:val="center"/>
          </w:tcPr>
          <w:p w14:paraId="42B1C73F">
            <w:pPr>
              <w:spacing w:line="520" w:lineRule="exact"/>
              <w:jc w:val="center"/>
              <w:rPr>
                <w:rFonts w:ascii="仿宋_GB2312"/>
                <w:color w:val="auto"/>
                <w:sz w:val="24"/>
              </w:rPr>
            </w:pPr>
          </w:p>
        </w:tc>
        <w:tc>
          <w:tcPr>
            <w:tcW w:w="1003" w:type="dxa"/>
            <w:vAlign w:val="center"/>
          </w:tcPr>
          <w:p w14:paraId="7715F95A">
            <w:pPr>
              <w:spacing w:line="520" w:lineRule="exact"/>
              <w:jc w:val="center"/>
              <w:rPr>
                <w:rFonts w:ascii="仿宋_GB2312"/>
                <w:color w:val="auto"/>
                <w:sz w:val="24"/>
              </w:rPr>
            </w:pPr>
          </w:p>
        </w:tc>
        <w:tc>
          <w:tcPr>
            <w:tcW w:w="892" w:type="dxa"/>
            <w:vAlign w:val="center"/>
          </w:tcPr>
          <w:p w14:paraId="280EC480">
            <w:pPr>
              <w:spacing w:line="520" w:lineRule="exact"/>
              <w:jc w:val="center"/>
              <w:rPr>
                <w:rFonts w:ascii="仿宋_GB2312"/>
                <w:color w:val="auto"/>
                <w:sz w:val="24"/>
              </w:rPr>
            </w:pPr>
          </w:p>
        </w:tc>
        <w:tc>
          <w:tcPr>
            <w:tcW w:w="1109" w:type="dxa"/>
            <w:vAlign w:val="center"/>
          </w:tcPr>
          <w:p w14:paraId="1BF907A2">
            <w:pPr>
              <w:spacing w:line="520" w:lineRule="exact"/>
              <w:jc w:val="center"/>
              <w:rPr>
                <w:rFonts w:ascii="仿宋_GB2312"/>
                <w:color w:val="auto"/>
                <w:sz w:val="24"/>
              </w:rPr>
            </w:pPr>
          </w:p>
        </w:tc>
        <w:tc>
          <w:tcPr>
            <w:tcW w:w="1579" w:type="dxa"/>
            <w:vAlign w:val="center"/>
          </w:tcPr>
          <w:p w14:paraId="31E825CA">
            <w:pPr>
              <w:spacing w:line="520" w:lineRule="exact"/>
              <w:jc w:val="center"/>
              <w:rPr>
                <w:rFonts w:ascii="仿宋_GB2312"/>
                <w:color w:val="auto"/>
                <w:sz w:val="24"/>
              </w:rPr>
            </w:pPr>
          </w:p>
        </w:tc>
        <w:tc>
          <w:tcPr>
            <w:tcW w:w="1579" w:type="dxa"/>
            <w:vAlign w:val="center"/>
          </w:tcPr>
          <w:p w14:paraId="182986CA">
            <w:pPr>
              <w:spacing w:line="520" w:lineRule="exact"/>
              <w:jc w:val="center"/>
              <w:rPr>
                <w:rFonts w:ascii="仿宋_GB2312"/>
                <w:color w:val="auto"/>
                <w:sz w:val="24"/>
              </w:rPr>
            </w:pPr>
          </w:p>
        </w:tc>
      </w:tr>
      <w:tr w14:paraId="2653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426" w:type="dxa"/>
            <w:vAlign w:val="center"/>
          </w:tcPr>
          <w:p w14:paraId="1E4FEB92">
            <w:pPr>
              <w:spacing w:line="520" w:lineRule="exact"/>
              <w:jc w:val="center"/>
              <w:rPr>
                <w:rFonts w:ascii="仿宋_GB2312"/>
                <w:color w:val="auto"/>
                <w:sz w:val="24"/>
              </w:rPr>
            </w:pPr>
          </w:p>
        </w:tc>
        <w:tc>
          <w:tcPr>
            <w:tcW w:w="549" w:type="dxa"/>
            <w:vAlign w:val="center"/>
          </w:tcPr>
          <w:p w14:paraId="75B5BBE2">
            <w:pPr>
              <w:spacing w:line="520" w:lineRule="exact"/>
              <w:jc w:val="center"/>
              <w:rPr>
                <w:rFonts w:ascii="仿宋_GB2312"/>
                <w:color w:val="auto"/>
                <w:sz w:val="24"/>
              </w:rPr>
            </w:pPr>
          </w:p>
        </w:tc>
        <w:tc>
          <w:tcPr>
            <w:tcW w:w="629" w:type="dxa"/>
            <w:vAlign w:val="center"/>
          </w:tcPr>
          <w:p w14:paraId="1AAD77CE">
            <w:pPr>
              <w:spacing w:line="520" w:lineRule="exact"/>
              <w:jc w:val="center"/>
              <w:rPr>
                <w:rFonts w:ascii="仿宋_GB2312"/>
                <w:color w:val="auto"/>
                <w:sz w:val="24"/>
              </w:rPr>
            </w:pPr>
          </w:p>
        </w:tc>
        <w:tc>
          <w:tcPr>
            <w:tcW w:w="698" w:type="dxa"/>
            <w:vAlign w:val="center"/>
          </w:tcPr>
          <w:p w14:paraId="549BD79D">
            <w:pPr>
              <w:spacing w:line="520" w:lineRule="exact"/>
              <w:jc w:val="center"/>
              <w:rPr>
                <w:rFonts w:ascii="仿宋_GB2312"/>
                <w:color w:val="auto"/>
                <w:sz w:val="24"/>
              </w:rPr>
            </w:pPr>
          </w:p>
        </w:tc>
        <w:tc>
          <w:tcPr>
            <w:tcW w:w="593" w:type="dxa"/>
            <w:vAlign w:val="center"/>
          </w:tcPr>
          <w:p w14:paraId="3E600994">
            <w:pPr>
              <w:spacing w:line="520" w:lineRule="exact"/>
              <w:jc w:val="center"/>
              <w:rPr>
                <w:rFonts w:ascii="仿宋_GB2312"/>
                <w:color w:val="auto"/>
                <w:sz w:val="24"/>
              </w:rPr>
            </w:pPr>
          </w:p>
        </w:tc>
        <w:tc>
          <w:tcPr>
            <w:tcW w:w="764" w:type="dxa"/>
            <w:vAlign w:val="center"/>
          </w:tcPr>
          <w:p w14:paraId="4A938DCB">
            <w:pPr>
              <w:spacing w:line="520" w:lineRule="exact"/>
              <w:jc w:val="center"/>
              <w:rPr>
                <w:rFonts w:ascii="仿宋_GB2312"/>
                <w:color w:val="auto"/>
                <w:sz w:val="24"/>
              </w:rPr>
            </w:pPr>
          </w:p>
        </w:tc>
        <w:tc>
          <w:tcPr>
            <w:tcW w:w="765" w:type="dxa"/>
            <w:vAlign w:val="center"/>
          </w:tcPr>
          <w:p w14:paraId="26B414D0">
            <w:pPr>
              <w:spacing w:line="520" w:lineRule="exact"/>
              <w:jc w:val="center"/>
              <w:rPr>
                <w:rFonts w:ascii="仿宋_GB2312"/>
                <w:color w:val="auto"/>
                <w:sz w:val="24"/>
              </w:rPr>
            </w:pPr>
          </w:p>
        </w:tc>
        <w:tc>
          <w:tcPr>
            <w:tcW w:w="571" w:type="dxa"/>
            <w:vAlign w:val="center"/>
          </w:tcPr>
          <w:p w14:paraId="4F55BC2D">
            <w:pPr>
              <w:spacing w:line="520" w:lineRule="exact"/>
              <w:jc w:val="center"/>
              <w:rPr>
                <w:rFonts w:ascii="仿宋_GB2312"/>
                <w:color w:val="auto"/>
                <w:sz w:val="24"/>
              </w:rPr>
            </w:pPr>
          </w:p>
        </w:tc>
        <w:tc>
          <w:tcPr>
            <w:tcW w:w="571" w:type="dxa"/>
            <w:vAlign w:val="center"/>
          </w:tcPr>
          <w:p w14:paraId="7AB359C4">
            <w:pPr>
              <w:spacing w:line="520" w:lineRule="exact"/>
              <w:jc w:val="center"/>
              <w:rPr>
                <w:rFonts w:ascii="仿宋_GB2312"/>
                <w:color w:val="auto"/>
                <w:sz w:val="24"/>
              </w:rPr>
            </w:pPr>
          </w:p>
        </w:tc>
        <w:tc>
          <w:tcPr>
            <w:tcW w:w="607" w:type="dxa"/>
            <w:vAlign w:val="center"/>
          </w:tcPr>
          <w:p w14:paraId="6BB0155E">
            <w:pPr>
              <w:spacing w:line="520" w:lineRule="exact"/>
              <w:jc w:val="center"/>
              <w:rPr>
                <w:rFonts w:ascii="仿宋_GB2312"/>
                <w:color w:val="auto"/>
                <w:sz w:val="24"/>
              </w:rPr>
            </w:pPr>
          </w:p>
        </w:tc>
        <w:tc>
          <w:tcPr>
            <w:tcW w:w="1036" w:type="dxa"/>
            <w:vAlign w:val="center"/>
          </w:tcPr>
          <w:p w14:paraId="26D6E005">
            <w:pPr>
              <w:spacing w:line="520" w:lineRule="exact"/>
              <w:jc w:val="center"/>
              <w:rPr>
                <w:rFonts w:ascii="仿宋_GB2312"/>
                <w:color w:val="auto"/>
                <w:sz w:val="24"/>
              </w:rPr>
            </w:pPr>
          </w:p>
        </w:tc>
        <w:tc>
          <w:tcPr>
            <w:tcW w:w="965" w:type="dxa"/>
            <w:vAlign w:val="center"/>
          </w:tcPr>
          <w:p w14:paraId="217E4E18">
            <w:pPr>
              <w:spacing w:line="520" w:lineRule="exact"/>
              <w:jc w:val="center"/>
              <w:rPr>
                <w:rFonts w:ascii="仿宋_GB2312"/>
                <w:color w:val="auto"/>
                <w:sz w:val="24"/>
              </w:rPr>
            </w:pPr>
          </w:p>
        </w:tc>
        <w:tc>
          <w:tcPr>
            <w:tcW w:w="853" w:type="dxa"/>
            <w:vAlign w:val="center"/>
          </w:tcPr>
          <w:p w14:paraId="08EDC82B">
            <w:pPr>
              <w:spacing w:line="520" w:lineRule="exact"/>
              <w:jc w:val="center"/>
              <w:rPr>
                <w:rFonts w:ascii="仿宋_GB2312"/>
                <w:color w:val="auto"/>
                <w:sz w:val="24"/>
              </w:rPr>
            </w:pPr>
          </w:p>
        </w:tc>
        <w:tc>
          <w:tcPr>
            <w:tcW w:w="1003" w:type="dxa"/>
            <w:vAlign w:val="center"/>
          </w:tcPr>
          <w:p w14:paraId="7BA7F8A1">
            <w:pPr>
              <w:spacing w:line="520" w:lineRule="exact"/>
              <w:jc w:val="center"/>
              <w:rPr>
                <w:rFonts w:ascii="仿宋_GB2312"/>
                <w:color w:val="auto"/>
                <w:sz w:val="24"/>
              </w:rPr>
            </w:pPr>
          </w:p>
        </w:tc>
        <w:tc>
          <w:tcPr>
            <w:tcW w:w="892" w:type="dxa"/>
            <w:vAlign w:val="center"/>
          </w:tcPr>
          <w:p w14:paraId="5CD9CF06">
            <w:pPr>
              <w:spacing w:line="520" w:lineRule="exact"/>
              <w:jc w:val="center"/>
              <w:rPr>
                <w:rFonts w:ascii="仿宋_GB2312"/>
                <w:color w:val="auto"/>
                <w:sz w:val="24"/>
              </w:rPr>
            </w:pPr>
          </w:p>
        </w:tc>
        <w:tc>
          <w:tcPr>
            <w:tcW w:w="1109" w:type="dxa"/>
            <w:vAlign w:val="center"/>
          </w:tcPr>
          <w:p w14:paraId="0EB615DA">
            <w:pPr>
              <w:spacing w:line="520" w:lineRule="exact"/>
              <w:jc w:val="center"/>
              <w:rPr>
                <w:rFonts w:ascii="仿宋_GB2312"/>
                <w:color w:val="auto"/>
                <w:sz w:val="24"/>
              </w:rPr>
            </w:pPr>
          </w:p>
        </w:tc>
        <w:tc>
          <w:tcPr>
            <w:tcW w:w="1579" w:type="dxa"/>
            <w:vAlign w:val="center"/>
          </w:tcPr>
          <w:p w14:paraId="3356F8F7">
            <w:pPr>
              <w:spacing w:line="520" w:lineRule="exact"/>
              <w:jc w:val="center"/>
              <w:rPr>
                <w:rFonts w:ascii="仿宋_GB2312"/>
                <w:color w:val="auto"/>
                <w:sz w:val="24"/>
              </w:rPr>
            </w:pPr>
          </w:p>
        </w:tc>
        <w:tc>
          <w:tcPr>
            <w:tcW w:w="1579" w:type="dxa"/>
            <w:vAlign w:val="center"/>
          </w:tcPr>
          <w:p w14:paraId="10B3D1FD">
            <w:pPr>
              <w:spacing w:line="520" w:lineRule="exact"/>
              <w:jc w:val="center"/>
              <w:rPr>
                <w:rFonts w:ascii="仿宋_GB2312"/>
                <w:color w:val="auto"/>
                <w:sz w:val="24"/>
              </w:rPr>
            </w:pPr>
          </w:p>
        </w:tc>
      </w:tr>
    </w:tbl>
    <w:p w14:paraId="580EC309">
      <w:pPr>
        <w:spacing w:line="480" w:lineRule="exact"/>
        <w:rPr>
          <w:rFonts w:hint="eastAsia" w:ascii="仿宋" w:hAnsi="仿宋" w:eastAsia="仿宋" w:cs="仿宋"/>
          <w:color w:val="auto"/>
          <w:sz w:val="21"/>
          <w:szCs w:val="21"/>
        </w:rPr>
      </w:pPr>
      <w:r>
        <w:rPr>
          <w:rFonts w:hint="eastAsia" w:ascii="仿宋" w:hAnsi="仿宋" w:eastAsia="仿宋" w:cs="仿宋"/>
          <w:b/>
          <w:color w:val="auto"/>
          <w:sz w:val="21"/>
          <w:szCs w:val="21"/>
        </w:rPr>
        <w:t>注：</w:t>
      </w:r>
      <w:r>
        <w:rPr>
          <w:rFonts w:hint="eastAsia" w:ascii="仿宋" w:hAnsi="仿宋" w:eastAsia="仿宋" w:cs="仿宋"/>
          <w:bCs/>
          <w:color w:val="auto"/>
          <w:sz w:val="21"/>
          <w:szCs w:val="21"/>
        </w:rPr>
        <w:t>1.</w:t>
      </w:r>
      <w:r>
        <w:rPr>
          <w:rFonts w:hint="eastAsia" w:ascii="仿宋" w:hAnsi="仿宋" w:eastAsia="仿宋" w:cs="仿宋"/>
          <w:color w:val="auto"/>
          <w:sz w:val="21"/>
          <w:szCs w:val="21"/>
        </w:rPr>
        <w:t>报名人员在校期间有违法违纪违规行为并受过严重警告及以上处分的填“是”；</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.报名人员在读期间必修（主修）科目补考3门或3次（含3门或3次）以上为不达标，填“否”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在校</w:t>
      </w:r>
      <w:r>
        <w:rPr>
          <w:rFonts w:hint="eastAsia" w:ascii="仿宋" w:hAnsi="仿宋" w:eastAsia="仿宋" w:cs="仿宋"/>
          <w:color w:val="auto"/>
          <w:sz w:val="21"/>
          <w:szCs w:val="21"/>
          <w:lang w:val="en-US" w:eastAsia="zh-CN"/>
        </w:rPr>
        <w:t>获得荣誉（奖学金</w:t>
      </w:r>
      <w:r>
        <w:rPr>
          <w:rFonts w:hint="eastAsia" w:ascii="仿宋" w:hAnsi="仿宋" w:eastAsia="仿宋" w:cs="仿宋"/>
          <w:color w:val="auto"/>
          <w:sz w:val="21"/>
          <w:szCs w:val="21"/>
          <w:lang w:eastAsia="zh-CN"/>
        </w:rPr>
        <w:t>、奖项</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情况按照就高不重复原则评分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4.专业成绩排名精确到小数点后两位。</w:t>
      </w:r>
      <w:r>
        <w:rPr>
          <w:rFonts w:hint="eastAsia" w:ascii="仿宋" w:hAnsi="仿宋" w:eastAsia="仿宋" w:cs="仿宋"/>
          <w:color w:val="auto"/>
          <w:sz w:val="21"/>
          <w:szCs w:val="21"/>
        </w:rPr>
        <w:t>各院校在</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日前将本表分别寄送至</w:t>
      </w:r>
      <w:r>
        <w:rPr>
          <w:rFonts w:hint="eastAsia" w:ascii="仿宋" w:hAnsi="仿宋" w:eastAsia="仿宋" w:cs="仿宋"/>
          <w:b/>
          <w:bCs/>
          <w:color w:val="auto"/>
          <w:sz w:val="21"/>
          <w:szCs w:val="21"/>
        </w:rPr>
        <w:t>毕业生报名岗位所在设区市</w:t>
      </w:r>
      <w:r>
        <w:rPr>
          <w:rFonts w:hint="eastAsia" w:ascii="仿宋" w:hAnsi="仿宋" w:eastAsia="仿宋" w:cs="仿宋"/>
          <w:b/>
          <w:bCs/>
          <w:color w:val="auto"/>
          <w:sz w:val="21"/>
          <w:szCs w:val="21"/>
          <w:lang w:eastAsia="zh-CN"/>
        </w:rPr>
        <w:t>人社部门</w:t>
      </w:r>
      <w:r>
        <w:rPr>
          <w:rFonts w:hint="eastAsia" w:ascii="仿宋" w:hAnsi="仿宋" w:eastAsia="仿宋" w:cs="仿宋"/>
          <w:color w:val="auto"/>
          <w:sz w:val="21"/>
          <w:szCs w:val="21"/>
        </w:rPr>
        <w:t>。</w:t>
      </w:r>
    </w:p>
    <w:p w14:paraId="32189767">
      <w:pPr>
        <w:spacing w:line="48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填表人：（必填）                                                                        联系电话：（必填）</w:t>
      </w:r>
    </w:p>
    <w:p w14:paraId="082C1855">
      <w:pPr>
        <w:spacing w:line="550" w:lineRule="exact"/>
        <w:rPr>
          <w:rFonts w:hint="eastAsia" w:ascii="黑体" w:eastAsia="黑体"/>
          <w:bCs/>
          <w:color w:val="auto"/>
          <w:kern w:val="0"/>
          <w:szCs w:val="32"/>
          <w:lang w:eastAsia="zh-CN"/>
        </w:rPr>
      </w:pPr>
      <w:r>
        <w:rPr>
          <w:rFonts w:hint="eastAsia" w:ascii="黑体" w:eastAsia="黑体"/>
          <w:bCs/>
          <w:color w:val="auto"/>
          <w:kern w:val="0"/>
          <w:szCs w:val="32"/>
        </w:rPr>
        <w:t>附件</w:t>
      </w:r>
      <w:r>
        <w:rPr>
          <w:rFonts w:hint="eastAsia" w:ascii="黑体" w:eastAsia="黑体"/>
          <w:bCs/>
          <w:color w:val="auto"/>
          <w:kern w:val="0"/>
          <w:szCs w:val="32"/>
          <w:lang w:val="en-US" w:eastAsia="zh-CN"/>
        </w:rPr>
        <w:t>2</w:t>
      </w:r>
    </w:p>
    <w:p w14:paraId="3369D16C">
      <w:pPr>
        <w:spacing w:line="520" w:lineRule="exact"/>
        <w:jc w:val="center"/>
        <w:rPr>
          <w:rFonts w:hint="eastAsia" w:ascii="方正小标宋简体" w:hAnsi="宋体" w:eastAsia="方正小标宋简体" w:cs="Times New Roman"/>
          <w:sz w:val="36"/>
          <w:szCs w:val="36"/>
          <w:highlight w:val="none"/>
          <w:lang w:val="en-US" w:eastAsia="zh-CN"/>
        </w:rPr>
      </w:pPr>
      <w:r>
        <w:rPr>
          <w:rFonts w:hint="eastAsia" w:ascii="方正小标宋简体" w:hAnsi="宋体" w:eastAsia="方正小标宋简体" w:cs="Times New Roman"/>
          <w:sz w:val="36"/>
          <w:szCs w:val="36"/>
          <w:highlight w:val="none"/>
          <w:lang w:val="en-US" w:eastAsia="zh-CN"/>
        </w:rPr>
        <w:t>2026年福建省“三支一扶”计划工作各设区市联系渠道清单</w:t>
      </w:r>
    </w:p>
    <w:tbl>
      <w:tblPr>
        <w:tblStyle w:val="2"/>
        <w:tblpPr w:leftFromText="180" w:rightFromText="180" w:vertAnchor="text" w:horzAnchor="page" w:tblpX="1741" w:tblpY="4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988"/>
        <w:gridCol w:w="2182"/>
        <w:gridCol w:w="5442"/>
        <w:gridCol w:w="1370"/>
      </w:tblGrid>
      <w:tr w14:paraId="349C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30" w:type="dxa"/>
            <w:noWrap w:val="0"/>
            <w:vAlign w:val="center"/>
          </w:tcPr>
          <w:p w14:paraId="7993965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1988" w:type="dxa"/>
            <w:noWrap w:val="0"/>
            <w:vAlign w:val="center"/>
          </w:tcPr>
          <w:p w14:paraId="679747F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联系电话</w:t>
            </w:r>
          </w:p>
        </w:tc>
        <w:tc>
          <w:tcPr>
            <w:tcW w:w="2182" w:type="dxa"/>
            <w:noWrap w:val="0"/>
            <w:vAlign w:val="center"/>
          </w:tcPr>
          <w:p w14:paraId="5AE9AB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传真号码</w:t>
            </w:r>
          </w:p>
        </w:tc>
        <w:tc>
          <w:tcPr>
            <w:tcW w:w="5442" w:type="dxa"/>
            <w:noWrap w:val="0"/>
            <w:vAlign w:val="center"/>
          </w:tcPr>
          <w:p w14:paraId="24C3BE1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联系地址</w:t>
            </w:r>
          </w:p>
        </w:tc>
        <w:tc>
          <w:tcPr>
            <w:tcW w:w="1370" w:type="dxa"/>
            <w:noWrap w:val="0"/>
            <w:vAlign w:val="center"/>
          </w:tcPr>
          <w:p w14:paraId="7B6B099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邮政编码</w:t>
            </w:r>
          </w:p>
        </w:tc>
      </w:tr>
      <w:tr w14:paraId="4B56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30" w:type="dxa"/>
            <w:noWrap w:val="0"/>
            <w:vAlign w:val="center"/>
          </w:tcPr>
          <w:p w14:paraId="4E4CB5D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highlight w:val="none"/>
              </w:rPr>
              <w:t>福州市</w:t>
            </w:r>
            <w:r>
              <w:rPr>
                <w:rFonts w:hint="eastAsia" w:ascii="仿宋_GB2312" w:hAnsi="仿宋_GB2312" w:eastAsia="仿宋_GB2312" w:cs="仿宋_GB2312"/>
                <w:color w:val="auto"/>
                <w:sz w:val="24"/>
                <w:highlight w:val="none"/>
                <w:lang w:eastAsia="zh-CN"/>
              </w:rPr>
              <w:t>人社局</w:t>
            </w:r>
          </w:p>
        </w:tc>
        <w:tc>
          <w:tcPr>
            <w:tcW w:w="1988" w:type="dxa"/>
            <w:noWrap w:val="0"/>
            <w:vAlign w:val="center"/>
          </w:tcPr>
          <w:p w14:paraId="0D65C7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0591-83337727</w:t>
            </w:r>
          </w:p>
        </w:tc>
        <w:tc>
          <w:tcPr>
            <w:tcW w:w="2182" w:type="dxa"/>
            <w:noWrap w:val="0"/>
            <w:vAlign w:val="center"/>
          </w:tcPr>
          <w:p w14:paraId="76013F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0591-83337727</w:t>
            </w:r>
          </w:p>
        </w:tc>
        <w:tc>
          <w:tcPr>
            <w:tcW w:w="5442" w:type="dxa"/>
            <w:noWrap w:val="0"/>
            <w:vAlign w:val="center"/>
          </w:tcPr>
          <w:p w14:paraId="3E24E1CD">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color w:val="auto"/>
                <w:sz w:val="24"/>
              </w:rPr>
            </w:pPr>
            <w:r>
              <w:rPr>
                <w:rFonts w:hint="default" w:ascii="仿宋_GB2312" w:hAnsi="仿宋_GB2312" w:eastAsia="仿宋_GB2312" w:cs="仿宋_GB2312"/>
                <w:color w:val="auto"/>
                <w:sz w:val="24"/>
              </w:rPr>
              <w:t>福建省</w:t>
            </w:r>
            <w:r>
              <w:rPr>
                <w:rFonts w:hint="eastAsia" w:ascii="仿宋_GB2312" w:hAnsi="仿宋_GB2312" w:eastAsia="仿宋_GB2312" w:cs="仿宋_GB2312"/>
                <w:color w:val="auto"/>
                <w:sz w:val="24"/>
              </w:rPr>
              <w:t>福州市仓山区南江滨西大道193号东部办公区1#</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01室</w:t>
            </w:r>
          </w:p>
        </w:tc>
        <w:tc>
          <w:tcPr>
            <w:tcW w:w="1370" w:type="dxa"/>
            <w:noWrap w:val="0"/>
            <w:vAlign w:val="center"/>
          </w:tcPr>
          <w:p w14:paraId="095769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350001</w:t>
            </w:r>
          </w:p>
        </w:tc>
      </w:tr>
      <w:tr w14:paraId="4D50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630" w:type="dxa"/>
            <w:noWrap w:val="0"/>
            <w:vAlign w:val="center"/>
          </w:tcPr>
          <w:p w14:paraId="2653DD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漳州市</w:t>
            </w:r>
            <w:r>
              <w:rPr>
                <w:rFonts w:hint="eastAsia" w:ascii="仿宋_GB2312" w:hAnsi="仿宋_GB2312" w:eastAsia="仿宋_GB2312" w:cs="仿宋_GB2312"/>
                <w:color w:val="auto"/>
                <w:sz w:val="24"/>
                <w:highlight w:val="none"/>
                <w:lang w:eastAsia="zh-CN"/>
              </w:rPr>
              <w:t>人社局就业科</w:t>
            </w:r>
          </w:p>
        </w:tc>
        <w:tc>
          <w:tcPr>
            <w:tcW w:w="1988" w:type="dxa"/>
            <w:noWrap w:val="0"/>
            <w:vAlign w:val="center"/>
          </w:tcPr>
          <w:p w14:paraId="786DF6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0596-2024423</w:t>
            </w:r>
          </w:p>
          <w:p w14:paraId="623D26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0596-2021505</w:t>
            </w:r>
          </w:p>
        </w:tc>
        <w:tc>
          <w:tcPr>
            <w:tcW w:w="2182" w:type="dxa"/>
            <w:noWrap w:val="0"/>
            <w:vAlign w:val="center"/>
          </w:tcPr>
          <w:p w14:paraId="56C655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0596-2024423</w:t>
            </w:r>
          </w:p>
        </w:tc>
        <w:tc>
          <w:tcPr>
            <w:tcW w:w="5442" w:type="dxa"/>
            <w:noWrap w:val="0"/>
            <w:vAlign w:val="center"/>
          </w:tcPr>
          <w:p w14:paraId="1ADBB3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val="en-US" w:eastAsia="zh-CN" w:bidi="ar"/>
              </w:rPr>
              <w:t>福建省</w:t>
            </w:r>
            <w:r>
              <w:rPr>
                <w:rFonts w:hint="default" w:ascii="仿宋_GB2312" w:hAnsi="仿宋_GB2312" w:eastAsia="仿宋_GB2312" w:cs="仿宋_GB2312"/>
                <w:color w:val="auto"/>
                <w:kern w:val="0"/>
                <w:sz w:val="24"/>
                <w:lang w:bidi="ar"/>
              </w:rPr>
              <w:t>漳州市芗城区漳福路44号2号楼漳州市人社局1楼104</w:t>
            </w:r>
          </w:p>
        </w:tc>
        <w:tc>
          <w:tcPr>
            <w:tcW w:w="1370" w:type="dxa"/>
            <w:noWrap w:val="0"/>
            <w:vAlign w:val="center"/>
          </w:tcPr>
          <w:p w14:paraId="39C644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363000</w:t>
            </w:r>
          </w:p>
        </w:tc>
      </w:tr>
      <w:tr w14:paraId="0627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center"/>
          </w:tcPr>
          <w:p w14:paraId="2B5E16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泉州市就业和人才人事公共服务中心</w:t>
            </w:r>
          </w:p>
        </w:tc>
        <w:tc>
          <w:tcPr>
            <w:tcW w:w="1988" w:type="dxa"/>
            <w:noWrap w:val="0"/>
            <w:vAlign w:val="center"/>
          </w:tcPr>
          <w:p w14:paraId="19D724EB">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0595-28133660</w:t>
            </w:r>
          </w:p>
        </w:tc>
        <w:tc>
          <w:tcPr>
            <w:tcW w:w="2182" w:type="dxa"/>
            <w:noWrap w:val="0"/>
            <w:vAlign w:val="center"/>
          </w:tcPr>
          <w:p w14:paraId="2538B185">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hint="eastAsia" w:ascii="仿宋_GB2312" w:hAnsi="仿宋_GB2312" w:eastAsia="仿宋_GB2312" w:cs="仿宋_GB2312"/>
                <w:color w:val="auto"/>
                <w:sz w:val="24"/>
              </w:rPr>
            </w:pPr>
            <w:bookmarkStart w:id="0" w:name="_GoBack"/>
            <w:bookmarkEnd w:id="0"/>
          </w:p>
        </w:tc>
        <w:tc>
          <w:tcPr>
            <w:tcW w:w="5442" w:type="dxa"/>
            <w:noWrap w:val="0"/>
            <w:vAlign w:val="center"/>
          </w:tcPr>
          <w:p w14:paraId="53A7D9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福建省泉州市丰泽区东海大厦B栋1003室</w:t>
            </w:r>
          </w:p>
        </w:tc>
        <w:tc>
          <w:tcPr>
            <w:tcW w:w="1370" w:type="dxa"/>
            <w:noWrap w:val="0"/>
            <w:vAlign w:val="center"/>
          </w:tcPr>
          <w:p w14:paraId="31C88C2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362000</w:t>
            </w:r>
          </w:p>
        </w:tc>
      </w:tr>
      <w:tr w14:paraId="1E41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center"/>
          </w:tcPr>
          <w:p w14:paraId="406FC33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莆田市</w:t>
            </w:r>
            <w:r>
              <w:rPr>
                <w:rFonts w:hint="eastAsia" w:ascii="仿宋_GB2312" w:hAnsi="仿宋_GB2312" w:eastAsia="仿宋_GB2312" w:cs="仿宋_GB2312"/>
                <w:color w:val="auto"/>
                <w:sz w:val="24"/>
                <w:lang w:eastAsia="zh-CN"/>
              </w:rPr>
              <w:t>人社局</w:t>
            </w:r>
          </w:p>
        </w:tc>
        <w:tc>
          <w:tcPr>
            <w:tcW w:w="1988" w:type="dxa"/>
            <w:noWrap w:val="0"/>
            <w:vAlign w:val="center"/>
          </w:tcPr>
          <w:p w14:paraId="235712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0594-2289933</w:t>
            </w:r>
          </w:p>
        </w:tc>
        <w:tc>
          <w:tcPr>
            <w:tcW w:w="2182" w:type="dxa"/>
            <w:noWrap w:val="0"/>
            <w:vAlign w:val="center"/>
          </w:tcPr>
          <w:p w14:paraId="120B77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p>
        </w:tc>
        <w:tc>
          <w:tcPr>
            <w:tcW w:w="5442" w:type="dxa"/>
            <w:noWrap w:val="0"/>
            <w:vAlign w:val="center"/>
          </w:tcPr>
          <w:p w14:paraId="4D4740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default" w:ascii="仿宋_GB2312" w:hAnsi="仿宋_GB2312" w:eastAsia="仿宋_GB2312" w:cs="仿宋_GB2312"/>
                <w:color w:val="auto"/>
                <w:kern w:val="0"/>
                <w:sz w:val="24"/>
                <w:lang w:bidi="ar"/>
              </w:rPr>
              <w:t>福建省莆田市城厢区荔城中大道2169号莆田市人民政府办公楼1号楼651室</w:t>
            </w:r>
          </w:p>
        </w:tc>
        <w:tc>
          <w:tcPr>
            <w:tcW w:w="1370" w:type="dxa"/>
            <w:noWrap w:val="0"/>
            <w:vAlign w:val="center"/>
          </w:tcPr>
          <w:p w14:paraId="1281AE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351100</w:t>
            </w:r>
          </w:p>
        </w:tc>
      </w:tr>
      <w:tr w14:paraId="2EB4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center"/>
          </w:tcPr>
          <w:p w14:paraId="5194103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三明市</w:t>
            </w:r>
            <w:r>
              <w:rPr>
                <w:rFonts w:hint="eastAsia" w:ascii="仿宋_GB2312" w:hAnsi="仿宋_GB2312" w:eastAsia="仿宋_GB2312" w:cs="仿宋_GB2312"/>
                <w:color w:val="auto"/>
                <w:sz w:val="24"/>
                <w:highlight w:val="none"/>
                <w:lang w:eastAsia="zh-CN"/>
              </w:rPr>
              <w:t>人社局</w:t>
            </w:r>
          </w:p>
        </w:tc>
        <w:tc>
          <w:tcPr>
            <w:tcW w:w="1988" w:type="dxa"/>
            <w:noWrap w:val="0"/>
            <w:vAlign w:val="center"/>
          </w:tcPr>
          <w:p w14:paraId="385EED1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0598-7506621</w:t>
            </w:r>
          </w:p>
        </w:tc>
        <w:tc>
          <w:tcPr>
            <w:tcW w:w="2182" w:type="dxa"/>
            <w:noWrap w:val="0"/>
            <w:vAlign w:val="center"/>
          </w:tcPr>
          <w:p w14:paraId="18F9B95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0598-7506675</w:t>
            </w:r>
          </w:p>
        </w:tc>
        <w:tc>
          <w:tcPr>
            <w:tcW w:w="5442" w:type="dxa"/>
            <w:noWrap w:val="0"/>
            <w:vAlign w:val="center"/>
          </w:tcPr>
          <w:p w14:paraId="3C23868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default" w:ascii="仿宋_GB2312" w:hAnsi="仿宋_GB2312" w:eastAsia="仿宋_GB2312" w:cs="仿宋_GB2312"/>
                <w:color w:val="auto"/>
                <w:sz w:val="24"/>
              </w:rPr>
              <w:t xml:space="preserve"> 福建省三明市三元区新市北路杜鹃新村32幢三明市人社局311室</w:t>
            </w:r>
          </w:p>
        </w:tc>
        <w:tc>
          <w:tcPr>
            <w:tcW w:w="1370" w:type="dxa"/>
            <w:noWrap w:val="0"/>
            <w:vAlign w:val="center"/>
          </w:tcPr>
          <w:p w14:paraId="382F6E2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365000</w:t>
            </w:r>
          </w:p>
        </w:tc>
      </w:tr>
      <w:tr w14:paraId="1DDE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center"/>
          </w:tcPr>
          <w:p w14:paraId="035C093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南平市</w:t>
            </w:r>
            <w:r>
              <w:rPr>
                <w:rFonts w:hint="eastAsia" w:ascii="仿宋_GB2312" w:hAnsi="仿宋_GB2312" w:eastAsia="仿宋_GB2312" w:cs="仿宋_GB2312"/>
                <w:color w:val="auto"/>
                <w:sz w:val="24"/>
                <w:highlight w:val="none"/>
                <w:lang w:eastAsia="zh-CN"/>
              </w:rPr>
              <w:t>人事人才公共服务中心</w:t>
            </w:r>
          </w:p>
        </w:tc>
        <w:tc>
          <w:tcPr>
            <w:tcW w:w="1988" w:type="dxa"/>
            <w:noWrap w:val="0"/>
            <w:vAlign w:val="center"/>
          </w:tcPr>
          <w:p w14:paraId="4A3C22A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0599-8858560</w:t>
            </w:r>
          </w:p>
        </w:tc>
        <w:tc>
          <w:tcPr>
            <w:tcW w:w="2182" w:type="dxa"/>
            <w:noWrap w:val="0"/>
            <w:vAlign w:val="center"/>
          </w:tcPr>
          <w:p w14:paraId="3D89F7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w:t>
            </w:r>
          </w:p>
        </w:tc>
        <w:tc>
          <w:tcPr>
            <w:tcW w:w="5442" w:type="dxa"/>
            <w:noWrap w:val="0"/>
            <w:vAlign w:val="center"/>
          </w:tcPr>
          <w:p w14:paraId="22CFC63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福建省</w:t>
            </w:r>
            <w:r>
              <w:rPr>
                <w:rFonts w:hint="default" w:ascii="仿宋_GB2312" w:hAnsi="仿宋_GB2312" w:eastAsia="仿宋_GB2312" w:cs="仿宋_GB2312"/>
                <w:color w:val="auto"/>
                <w:sz w:val="24"/>
              </w:rPr>
              <w:t>南平市建阳区广场西路南林核心区商务写字楼2号楼5楼B525南平市人事人才公共服务中心</w:t>
            </w:r>
          </w:p>
        </w:tc>
        <w:tc>
          <w:tcPr>
            <w:tcW w:w="1370" w:type="dxa"/>
            <w:noWrap w:val="0"/>
            <w:vAlign w:val="center"/>
          </w:tcPr>
          <w:p w14:paraId="7F6C0AA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354200</w:t>
            </w:r>
          </w:p>
        </w:tc>
      </w:tr>
      <w:tr w14:paraId="1A76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630" w:type="dxa"/>
            <w:noWrap w:val="0"/>
            <w:vAlign w:val="center"/>
          </w:tcPr>
          <w:p w14:paraId="7276F76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龙岩市</w:t>
            </w:r>
            <w:r>
              <w:rPr>
                <w:rFonts w:hint="eastAsia" w:ascii="仿宋_GB2312" w:hAnsi="仿宋_GB2312" w:eastAsia="仿宋_GB2312" w:cs="仿宋_GB2312"/>
                <w:color w:val="auto"/>
                <w:sz w:val="24"/>
                <w:highlight w:val="none"/>
                <w:lang w:eastAsia="zh-CN"/>
              </w:rPr>
              <w:t>公共就业和人才服务中心</w:t>
            </w:r>
          </w:p>
        </w:tc>
        <w:tc>
          <w:tcPr>
            <w:tcW w:w="1988" w:type="dxa"/>
            <w:noWrap w:val="0"/>
            <w:vAlign w:val="center"/>
          </w:tcPr>
          <w:p w14:paraId="4E72CC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0597-3298291</w:t>
            </w:r>
          </w:p>
        </w:tc>
        <w:tc>
          <w:tcPr>
            <w:tcW w:w="2182" w:type="dxa"/>
            <w:noWrap w:val="0"/>
            <w:vAlign w:val="center"/>
          </w:tcPr>
          <w:p w14:paraId="62F692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w:t>
            </w:r>
          </w:p>
        </w:tc>
        <w:tc>
          <w:tcPr>
            <w:tcW w:w="5442" w:type="dxa"/>
            <w:noWrap w:val="0"/>
            <w:vAlign w:val="center"/>
          </w:tcPr>
          <w:p w14:paraId="4FAD695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rPr>
              <w:t>福建省龙岩市新罗区金融中心B2栋农业银行大楼14楼1425办公室</w:t>
            </w:r>
          </w:p>
        </w:tc>
        <w:tc>
          <w:tcPr>
            <w:tcW w:w="1370" w:type="dxa"/>
            <w:noWrap w:val="0"/>
            <w:vAlign w:val="center"/>
          </w:tcPr>
          <w:p w14:paraId="5DA00B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364000</w:t>
            </w:r>
          </w:p>
        </w:tc>
      </w:tr>
      <w:tr w14:paraId="521F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center"/>
          </w:tcPr>
          <w:p w14:paraId="63C1AD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宁德市</w:t>
            </w:r>
            <w:r>
              <w:rPr>
                <w:rFonts w:hint="eastAsia" w:ascii="仿宋_GB2312" w:hAnsi="仿宋_GB2312" w:eastAsia="仿宋_GB2312" w:cs="仿宋_GB2312"/>
                <w:color w:val="auto"/>
                <w:sz w:val="24"/>
                <w:lang w:eastAsia="zh-CN"/>
              </w:rPr>
              <w:t>人社局</w:t>
            </w:r>
          </w:p>
        </w:tc>
        <w:tc>
          <w:tcPr>
            <w:tcW w:w="1988" w:type="dxa"/>
            <w:noWrap w:val="0"/>
            <w:vAlign w:val="center"/>
          </w:tcPr>
          <w:p w14:paraId="1004A9E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0593-2868196</w:t>
            </w:r>
          </w:p>
        </w:tc>
        <w:tc>
          <w:tcPr>
            <w:tcW w:w="2182" w:type="dxa"/>
            <w:noWrap w:val="0"/>
            <w:vAlign w:val="center"/>
          </w:tcPr>
          <w:p w14:paraId="653A04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0593-2868196</w:t>
            </w:r>
          </w:p>
        </w:tc>
        <w:tc>
          <w:tcPr>
            <w:tcW w:w="5442" w:type="dxa"/>
            <w:noWrap w:val="0"/>
            <w:vAlign w:val="center"/>
          </w:tcPr>
          <w:p w14:paraId="49539F5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default" w:ascii="仿宋_GB2312" w:hAnsi="仿宋_GB2312" w:eastAsia="仿宋_GB2312" w:cs="仿宋_GB2312"/>
                <w:color w:val="auto"/>
                <w:sz w:val="24"/>
              </w:rPr>
              <w:t>福建省宁德市蕉城南路42号4楼毕业生就业指导中心</w:t>
            </w:r>
          </w:p>
        </w:tc>
        <w:tc>
          <w:tcPr>
            <w:tcW w:w="1370" w:type="dxa"/>
            <w:noWrap w:val="0"/>
            <w:vAlign w:val="center"/>
          </w:tcPr>
          <w:p w14:paraId="25DC0D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352100</w:t>
            </w:r>
          </w:p>
        </w:tc>
      </w:tr>
      <w:tr w14:paraId="06BD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center"/>
          </w:tcPr>
          <w:p w14:paraId="31202D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平潭综合实验区</w:t>
            </w:r>
            <w:r>
              <w:rPr>
                <w:rFonts w:hint="eastAsia" w:ascii="仿宋_GB2312" w:hAnsi="仿宋_GB2312" w:eastAsia="仿宋_GB2312" w:cs="仿宋_GB2312"/>
                <w:color w:val="auto"/>
                <w:sz w:val="24"/>
                <w:lang w:eastAsia="zh-CN"/>
              </w:rPr>
              <w:t>社会事业局</w:t>
            </w:r>
          </w:p>
        </w:tc>
        <w:tc>
          <w:tcPr>
            <w:tcW w:w="1988" w:type="dxa"/>
            <w:noWrap w:val="0"/>
            <w:vAlign w:val="center"/>
          </w:tcPr>
          <w:p w14:paraId="5C0D60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0591-38713033</w:t>
            </w:r>
          </w:p>
        </w:tc>
        <w:tc>
          <w:tcPr>
            <w:tcW w:w="2182" w:type="dxa"/>
            <w:noWrap w:val="0"/>
            <w:vAlign w:val="center"/>
          </w:tcPr>
          <w:p w14:paraId="75C1DC0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0591-38918918</w:t>
            </w:r>
          </w:p>
        </w:tc>
        <w:tc>
          <w:tcPr>
            <w:tcW w:w="5442" w:type="dxa"/>
            <w:noWrap w:val="0"/>
            <w:vAlign w:val="center"/>
          </w:tcPr>
          <w:p w14:paraId="406F33B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平潭综合实验区航运物流大厦3号楼9层社会保障处五</w:t>
            </w:r>
          </w:p>
        </w:tc>
        <w:tc>
          <w:tcPr>
            <w:tcW w:w="1370" w:type="dxa"/>
            <w:noWrap w:val="0"/>
            <w:vAlign w:val="center"/>
          </w:tcPr>
          <w:p w14:paraId="2396AD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350400</w:t>
            </w:r>
          </w:p>
        </w:tc>
      </w:tr>
    </w:tbl>
    <w:p w14:paraId="19ABD5EE">
      <w:pPr>
        <w:keepNext w:val="0"/>
        <w:keepLines w:val="0"/>
        <w:pageBreakBefore w:val="0"/>
        <w:kinsoku/>
        <w:wordWrap/>
        <w:overflowPunct/>
        <w:topLinePunct w:val="0"/>
        <w:autoSpaceDE/>
        <w:autoSpaceDN/>
        <w:bidi w:val="0"/>
        <w:adjustRightInd/>
        <w:snapToGrid/>
        <w:spacing w:line="320" w:lineRule="exact"/>
        <w:textAlignment w:val="auto"/>
      </w:pPr>
    </w:p>
    <w:p w14:paraId="21D20A72">
      <w:pPr>
        <w:rPr>
          <w:rFonts w:hint="eastAsia" w:ascii="仿宋_GB2312" w:hAnsi="Times New Roman" w:cs="Times New Roman"/>
          <w:spacing w:val="-6"/>
          <w:highlight w:val="none"/>
          <w:lang w:bidi="ar"/>
        </w:rPr>
      </w:pPr>
    </w:p>
    <w:p w14:paraId="0538CDFD">
      <w:pPr>
        <w:rPr>
          <w:rFonts w:hint="eastAsia" w:ascii="仿宋_GB2312" w:hAnsi="Times New Roman" w:cs="Times New Roman"/>
          <w:spacing w:val="-6"/>
          <w:highlight w:val="none"/>
          <w:lang w:bidi="ar"/>
        </w:rPr>
      </w:pPr>
    </w:p>
    <w:p w14:paraId="2F1CE54C"/>
    <w:p w14:paraId="3A7C610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EDF66"/>
    <w:multiLevelType w:val="singleLevel"/>
    <w:tmpl w:val="E9CEDF6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76B3A"/>
    <w:rsid w:val="00E522C1"/>
    <w:rsid w:val="086F3E11"/>
    <w:rsid w:val="1C8D2DDE"/>
    <w:rsid w:val="1DD219ED"/>
    <w:rsid w:val="219226BE"/>
    <w:rsid w:val="2D0E566A"/>
    <w:rsid w:val="42C74A2F"/>
    <w:rsid w:val="468A3932"/>
    <w:rsid w:val="49090BC2"/>
    <w:rsid w:val="50E76B3A"/>
    <w:rsid w:val="5B774E94"/>
    <w:rsid w:val="6CDC3602"/>
    <w:rsid w:val="70D3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2518</Words>
  <Characters>2863</Characters>
  <Lines>0</Lines>
  <Paragraphs>0</Paragraphs>
  <TotalTime>0</TotalTime>
  <ScaleCrop>false</ScaleCrop>
  <LinksUpToDate>false</LinksUpToDate>
  <CharactersWithSpaces>2960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2026-04-08T09:21:00Z</dcterms:created>
  <dc:creator>波罗的海</dc:creator>
  <cp:lastModifiedBy>波罗的海</cp:lastModifiedBy>
  <cp:lastPrinted>2026-04-08T10:30:00Z</cp:lastPrinted>
  <dcterms:modified xsi:type="dcterms:W3CDTF">2026-04-09T02:39:01Z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BC9C935A92C44EA499EE4989CC067860_11</vt:lpwstr>
  </property>
  <property fmtid="{D5CDD505-2E9C-101B-9397-08002B2CF9AE}" pid="4" name="KSOTemplateDocerSaveRecord">
    <vt:lpwstr>eyJoZGlkIjoiODY4YmJiNzNkNDI4ZWQ3MDhiZDYxMTJlMThmODdmYTciLCJ1c2VySWQiOiIzMTUzNjY4MDMifQ==</vt:lpwstr>
  </property>
</Properties>
</file>